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28C51" w14:textId="52DDC2B6" w:rsidR="006866CC" w:rsidRPr="006866CC" w:rsidRDefault="006866CC" w:rsidP="006866CC">
      <w:pPr>
        <w:contextualSpacing/>
        <w:jc w:val="center"/>
        <w:rPr>
          <w:b/>
          <w:sz w:val="28"/>
          <w:szCs w:val="28"/>
        </w:rPr>
      </w:pPr>
      <w:r w:rsidRPr="006866CC">
        <w:rPr>
          <w:b/>
          <w:sz w:val="28"/>
          <w:szCs w:val="28"/>
        </w:rPr>
        <w:t>Department of the Interior</w:t>
      </w:r>
    </w:p>
    <w:p w14:paraId="3CEA7986" w14:textId="338C6D86" w:rsidR="006866CC" w:rsidRDefault="006866CC" w:rsidP="006866CC">
      <w:pPr>
        <w:contextualSpacing/>
        <w:jc w:val="center"/>
        <w:rPr>
          <w:b/>
          <w:sz w:val="32"/>
          <w:szCs w:val="32"/>
        </w:rPr>
      </w:pPr>
      <w:r w:rsidRPr="006866CC">
        <w:rPr>
          <w:b/>
          <w:sz w:val="32"/>
          <w:szCs w:val="32"/>
        </w:rPr>
        <w:t>Departmental Manual</w:t>
      </w:r>
    </w:p>
    <w:p w14:paraId="2E84C1DE" w14:textId="5801FF21" w:rsidR="006866CC" w:rsidRPr="006866CC" w:rsidRDefault="006866CC" w:rsidP="006866CC">
      <w:pPr>
        <w:contextualSpacing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2DE2ABF9" w14:textId="77777777" w:rsidR="00957E58" w:rsidRDefault="00957E58" w:rsidP="006866CC">
      <w:pPr>
        <w:contextualSpacing/>
        <w:rPr>
          <w:b/>
          <w:sz w:val="32"/>
          <w:szCs w:val="32"/>
        </w:rPr>
      </w:pPr>
    </w:p>
    <w:p w14:paraId="5FA572A6" w14:textId="28F553CD" w:rsidR="006866CC" w:rsidRPr="006866CC" w:rsidRDefault="006866CC" w:rsidP="006866CC">
      <w:pPr>
        <w:contextualSpacing/>
        <w:rPr>
          <w:b/>
          <w:szCs w:val="24"/>
        </w:rPr>
      </w:pPr>
      <w:r w:rsidRPr="006866CC">
        <w:rPr>
          <w:b/>
          <w:szCs w:val="24"/>
        </w:rPr>
        <w:t>Effective Date</w:t>
      </w:r>
      <w:r w:rsidRPr="00957E58">
        <w:rPr>
          <w:szCs w:val="24"/>
        </w:rPr>
        <w:t>:</w:t>
      </w:r>
      <w:r w:rsidR="00957E58">
        <w:rPr>
          <w:b/>
          <w:szCs w:val="24"/>
        </w:rPr>
        <w:t xml:space="preserve">  </w:t>
      </w:r>
      <w:r w:rsidR="00957E58" w:rsidRPr="00957E58">
        <w:rPr>
          <w:szCs w:val="24"/>
        </w:rPr>
        <w:t>12</w:t>
      </w:r>
      <w:r w:rsidR="000E2DA7">
        <w:rPr>
          <w:szCs w:val="24"/>
        </w:rPr>
        <w:t>/</w:t>
      </w:r>
      <w:r w:rsidR="00957E58" w:rsidRPr="00957E58">
        <w:rPr>
          <w:szCs w:val="24"/>
        </w:rPr>
        <w:t>02/14</w:t>
      </w:r>
    </w:p>
    <w:p w14:paraId="11D523E1" w14:textId="76E64C00" w:rsidR="006866CC" w:rsidRDefault="006866CC" w:rsidP="006866CC">
      <w:pPr>
        <w:contextualSpacing/>
        <w:rPr>
          <w:szCs w:val="24"/>
        </w:rPr>
      </w:pPr>
      <w:r w:rsidRPr="006866CC">
        <w:rPr>
          <w:b/>
          <w:szCs w:val="24"/>
        </w:rPr>
        <w:t>Series</w:t>
      </w:r>
      <w:r w:rsidRPr="00957E58">
        <w:rPr>
          <w:szCs w:val="24"/>
        </w:rPr>
        <w:t xml:space="preserve">: </w:t>
      </w:r>
      <w:r>
        <w:rPr>
          <w:szCs w:val="24"/>
        </w:rPr>
        <w:t xml:space="preserve"> Intergovernmental Relations</w:t>
      </w:r>
    </w:p>
    <w:p w14:paraId="569BEE4F" w14:textId="72A6FE08" w:rsidR="006866CC" w:rsidRDefault="006866CC" w:rsidP="006866CC">
      <w:pPr>
        <w:contextualSpacing/>
        <w:rPr>
          <w:szCs w:val="24"/>
        </w:rPr>
      </w:pPr>
      <w:r w:rsidRPr="006866CC">
        <w:rPr>
          <w:b/>
          <w:szCs w:val="24"/>
        </w:rPr>
        <w:t>Part 512</w:t>
      </w:r>
      <w:r w:rsidRPr="00957E58">
        <w:rPr>
          <w:szCs w:val="24"/>
        </w:rPr>
        <w:t>:</w:t>
      </w:r>
      <w:r>
        <w:rPr>
          <w:szCs w:val="24"/>
        </w:rPr>
        <w:t xml:space="preserve">  American Indian and Alaska Native Programs</w:t>
      </w:r>
    </w:p>
    <w:p w14:paraId="4D889760" w14:textId="202B9894" w:rsidR="006866CC" w:rsidRDefault="006866CC" w:rsidP="006866CC">
      <w:pPr>
        <w:contextualSpacing/>
        <w:rPr>
          <w:szCs w:val="24"/>
        </w:rPr>
      </w:pPr>
      <w:r w:rsidRPr="006866CC">
        <w:rPr>
          <w:b/>
          <w:szCs w:val="24"/>
        </w:rPr>
        <w:t>Chapter 5</w:t>
      </w:r>
      <w:r w:rsidRPr="00957E58">
        <w:rPr>
          <w:szCs w:val="24"/>
        </w:rPr>
        <w:t>:</w:t>
      </w:r>
      <w:r>
        <w:rPr>
          <w:szCs w:val="24"/>
        </w:rPr>
        <w:t xml:space="preserve"> </w:t>
      </w:r>
      <w:r w:rsidR="00CF3BFC">
        <w:rPr>
          <w:szCs w:val="24"/>
        </w:rPr>
        <w:t xml:space="preserve"> </w:t>
      </w:r>
      <w:r>
        <w:rPr>
          <w:szCs w:val="24"/>
        </w:rPr>
        <w:t>Procedures for Consultation with Indian Tribes</w:t>
      </w:r>
    </w:p>
    <w:p w14:paraId="24C9F07E" w14:textId="77777777" w:rsidR="006866CC" w:rsidRDefault="006866CC" w:rsidP="006866CC">
      <w:pPr>
        <w:contextualSpacing/>
        <w:rPr>
          <w:szCs w:val="24"/>
        </w:rPr>
      </w:pPr>
    </w:p>
    <w:p w14:paraId="721BE40B" w14:textId="640EAD42" w:rsidR="006866CC" w:rsidRDefault="006866CC" w:rsidP="006866CC">
      <w:pPr>
        <w:contextualSpacing/>
        <w:rPr>
          <w:szCs w:val="24"/>
        </w:rPr>
      </w:pPr>
      <w:r w:rsidRPr="006866CC">
        <w:rPr>
          <w:b/>
          <w:szCs w:val="24"/>
        </w:rPr>
        <w:t>Originating Office:</w:t>
      </w:r>
      <w:r>
        <w:rPr>
          <w:szCs w:val="24"/>
        </w:rPr>
        <w:t xml:space="preserve">  Office of the Secretary</w:t>
      </w:r>
    </w:p>
    <w:p w14:paraId="330864C5" w14:textId="4FDD467F" w:rsidR="006866CC" w:rsidRDefault="006866CC" w:rsidP="006866CC">
      <w:pPr>
        <w:contextualSpacing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2219B90F" w14:textId="77777777" w:rsidR="006866CC" w:rsidRPr="006866CC" w:rsidRDefault="006866CC" w:rsidP="006866CC">
      <w:pPr>
        <w:contextualSpacing/>
        <w:rPr>
          <w:szCs w:val="24"/>
        </w:rPr>
      </w:pPr>
    </w:p>
    <w:p w14:paraId="037543BA" w14:textId="77777777" w:rsidR="00420616" w:rsidRPr="00420616" w:rsidRDefault="00420616" w:rsidP="00420616">
      <w:pPr>
        <w:contextualSpacing/>
        <w:rPr>
          <w:b/>
          <w:szCs w:val="24"/>
        </w:rPr>
      </w:pPr>
      <w:r w:rsidRPr="00420616">
        <w:rPr>
          <w:b/>
          <w:szCs w:val="24"/>
        </w:rPr>
        <w:t>512 DM 5</w:t>
      </w:r>
    </w:p>
    <w:p w14:paraId="44B3F67C" w14:textId="77777777" w:rsidR="00420616" w:rsidRPr="00D960AF" w:rsidRDefault="00420616" w:rsidP="00420616">
      <w:pPr>
        <w:contextualSpacing/>
        <w:rPr>
          <w:b/>
          <w:szCs w:val="24"/>
        </w:rPr>
      </w:pPr>
    </w:p>
    <w:p w14:paraId="4703CA90" w14:textId="0D36E7FB" w:rsidR="00155274" w:rsidRDefault="008857F9" w:rsidP="002A2F4A">
      <w:pPr>
        <w:contextualSpacing/>
        <w:rPr>
          <w:szCs w:val="24"/>
        </w:rPr>
      </w:pPr>
      <w:r>
        <w:rPr>
          <w:szCs w:val="24"/>
        </w:rPr>
        <w:t>5</w:t>
      </w:r>
      <w:r w:rsidR="00D960AF" w:rsidRPr="00F93F8F">
        <w:rPr>
          <w:szCs w:val="24"/>
        </w:rPr>
        <w:t>.1</w:t>
      </w:r>
      <w:r w:rsidR="00D960AF" w:rsidRPr="00F93F8F">
        <w:rPr>
          <w:szCs w:val="24"/>
        </w:rPr>
        <w:tab/>
      </w:r>
      <w:r w:rsidR="008B681C" w:rsidRPr="00EC518B">
        <w:rPr>
          <w:b/>
          <w:szCs w:val="24"/>
        </w:rPr>
        <w:t>Purpose</w:t>
      </w:r>
      <w:r w:rsidR="006866CC">
        <w:rPr>
          <w:szCs w:val="24"/>
        </w:rPr>
        <w:t xml:space="preserve">.  </w:t>
      </w:r>
      <w:r w:rsidR="008B681C" w:rsidRPr="00155274">
        <w:rPr>
          <w:szCs w:val="24"/>
        </w:rPr>
        <w:t>This chapter</w:t>
      </w:r>
      <w:r w:rsidR="00D960AF" w:rsidRPr="00155274">
        <w:rPr>
          <w:szCs w:val="24"/>
        </w:rPr>
        <w:t xml:space="preserve"> provides the </w:t>
      </w:r>
      <w:r>
        <w:rPr>
          <w:szCs w:val="24"/>
        </w:rPr>
        <w:t>procedures and process for Department of the Inte</w:t>
      </w:r>
      <w:r w:rsidR="00736FF7">
        <w:rPr>
          <w:szCs w:val="24"/>
        </w:rPr>
        <w:t xml:space="preserve">rior </w:t>
      </w:r>
      <w:r w:rsidR="00EC518B">
        <w:rPr>
          <w:szCs w:val="24"/>
        </w:rPr>
        <w:t xml:space="preserve">(DOI) </w:t>
      </w:r>
      <w:r w:rsidR="00276E30">
        <w:rPr>
          <w:szCs w:val="24"/>
        </w:rPr>
        <w:t>government-</w:t>
      </w:r>
      <w:r w:rsidR="00D960AF" w:rsidRPr="00D960AF">
        <w:rPr>
          <w:szCs w:val="24"/>
        </w:rPr>
        <w:t xml:space="preserve">to-government consultation between appropriate </w:t>
      </w:r>
      <w:r w:rsidR="004458FE">
        <w:rPr>
          <w:szCs w:val="24"/>
        </w:rPr>
        <w:t>t</w:t>
      </w:r>
      <w:r w:rsidR="00D960AF" w:rsidRPr="00D960AF">
        <w:rPr>
          <w:szCs w:val="24"/>
        </w:rPr>
        <w:t xml:space="preserve">ribal </w:t>
      </w:r>
      <w:r w:rsidR="004458FE">
        <w:rPr>
          <w:szCs w:val="24"/>
        </w:rPr>
        <w:t>o</w:t>
      </w:r>
      <w:r w:rsidR="00D960AF" w:rsidRPr="00D960AF">
        <w:rPr>
          <w:szCs w:val="24"/>
        </w:rPr>
        <w:t>fficials and D</w:t>
      </w:r>
      <w:r w:rsidR="004458FE">
        <w:rPr>
          <w:szCs w:val="24"/>
        </w:rPr>
        <w:t>OI</w:t>
      </w:r>
      <w:r w:rsidR="00D960AF" w:rsidRPr="00D960AF">
        <w:rPr>
          <w:szCs w:val="24"/>
        </w:rPr>
        <w:t xml:space="preserve"> officials</w:t>
      </w:r>
      <w:r w:rsidR="00155274">
        <w:rPr>
          <w:szCs w:val="24"/>
        </w:rPr>
        <w:t xml:space="preserve">.  </w:t>
      </w:r>
    </w:p>
    <w:p w14:paraId="777ED625" w14:textId="77777777" w:rsidR="008857F9" w:rsidRDefault="008857F9" w:rsidP="002A2F4A">
      <w:pPr>
        <w:contextualSpacing/>
        <w:rPr>
          <w:b/>
          <w:szCs w:val="24"/>
        </w:rPr>
      </w:pPr>
    </w:p>
    <w:p w14:paraId="57EA2F7E" w14:textId="35163E07" w:rsidR="008857F9" w:rsidRDefault="008857F9" w:rsidP="002A2F4A">
      <w:pPr>
        <w:contextualSpacing/>
        <w:rPr>
          <w:szCs w:val="24"/>
        </w:rPr>
      </w:pPr>
      <w:r>
        <w:rPr>
          <w:szCs w:val="24"/>
        </w:rPr>
        <w:t>5</w:t>
      </w:r>
      <w:r w:rsidR="00D960AF" w:rsidRPr="00F93F8F">
        <w:rPr>
          <w:szCs w:val="24"/>
        </w:rPr>
        <w:t>.2</w:t>
      </w:r>
      <w:r w:rsidR="00D960AF" w:rsidRPr="00F93F8F">
        <w:rPr>
          <w:szCs w:val="24"/>
        </w:rPr>
        <w:tab/>
      </w:r>
      <w:r w:rsidR="00D960AF" w:rsidRPr="00EC518B">
        <w:rPr>
          <w:b/>
          <w:szCs w:val="24"/>
        </w:rPr>
        <w:t>Scope</w:t>
      </w:r>
      <w:r w:rsidR="00D960AF" w:rsidRPr="00EC518B">
        <w:rPr>
          <w:szCs w:val="24"/>
        </w:rPr>
        <w:t>.</w:t>
      </w:r>
      <w:r w:rsidR="00D960AF" w:rsidRPr="00D960AF">
        <w:rPr>
          <w:szCs w:val="24"/>
        </w:rPr>
        <w:t xml:space="preserve"> </w:t>
      </w:r>
      <w:r w:rsidR="00155274">
        <w:rPr>
          <w:szCs w:val="24"/>
        </w:rPr>
        <w:t xml:space="preserve"> </w:t>
      </w:r>
      <w:r w:rsidR="00B223B4">
        <w:rPr>
          <w:szCs w:val="24"/>
        </w:rPr>
        <w:t>All DOI bureaus/</w:t>
      </w:r>
      <w:r w:rsidR="00EC518B">
        <w:rPr>
          <w:szCs w:val="24"/>
        </w:rPr>
        <w:t>o</w:t>
      </w:r>
      <w:r w:rsidR="00D960AF" w:rsidRPr="00155274">
        <w:rPr>
          <w:szCs w:val="24"/>
        </w:rPr>
        <w:t xml:space="preserve">ffices shall </w:t>
      </w:r>
      <w:r w:rsidR="00666958">
        <w:rPr>
          <w:szCs w:val="24"/>
        </w:rPr>
        <w:t xml:space="preserve">follow the processes in </w:t>
      </w:r>
      <w:r>
        <w:rPr>
          <w:szCs w:val="24"/>
        </w:rPr>
        <w:t>this chapter for consultation with</w:t>
      </w:r>
      <w:r w:rsidR="00666958">
        <w:rPr>
          <w:szCs w:val="24"/>
        </w:rPr>
        <w:t xml:space="preserve"> </w:t>
      </w:r>
      <w:r w:rsidR="004458FE">
        <w:rPr>
          <w:szCs w:val="24"/>
        </w:rPr>
        <w:t>t</w:t>
      </w:r>
      <w:r>
        <w:rPr>
          <w:szCs w:val="24"/>
        </w:rPr>
        <w:t>ribes</w:t>
      </w:r>
      <w:r w:rsidR="00DE3CF4">
        <w:rPr>
          <w:szCs w:val="24"/>
        </w:rPr>
        <w:t xml:space="preserve">.  </w:t>
      </w:r>
    </w:p>
    <w:p w14:paraId="4E2CDDBF" w14:textId="77777777" w:rsidR="008857F9" w:rsidRDefault="008857F9" w:rsidP="002A2F4A">
      <w:pPr>
        <w:contextualSpacing/>
        <w:rPr>
          <w:szCs w:val="24"/>
        </w:rPr>
      </w:pPr>
    </w:p>
    <w:p w14:paraId="2A43D496" w14:textId="77777777" w:rsidR="00A917A4" w:rsidRDefault="008857F9" w:rsidP="009F763E">
      <w:pPr>
        <w:contextualSpacing/>
        <w:rPr>
          <w:szCs w:val="24"/>
        </w:rPr>
      </w:pPr>
      <w:r>
        <w:rPr>
          <w:szCs w:val="24"/>
        </w:rPr>
        <w:t>5</w:t>
      </w:r>
      <w:r w:rsidR="00155274" w:rsidRPr="00F93F8F">
        <w:rPr>
          <w:szCs w:val="24"/>
        </w:rPr>
        <w:t>.3</w:t>
      </w:r>
      <w:r w:rsidR="00155274" w:rsidRPr="00F93F8F">
        <w:rPr>
          <w:szCs w:val="24"/>
        </w:rPr>
        <w:tab/>
      </w:r>
      <w:r w:rsidR="00D960AF" w:rsidRPr="00EC518B">
        <w:rPr>
          <w:b/>
          <w:szCs w:val="24"/>
        </w:rPr>
        <w:t>Authority</w:t>
      </w:r>
      <w:r w:rsidR="00D960AF" w:rsidRPr="00EC518B">
        <w:rPr>
          <w:szCs w:val="24"/>
        </w:rPr>
        <w:t>.</w:t>
      </w:r>
      <w:r w:rsidR="00155274">
        <w:rPr>
          <w:b/>
          <w:szCs w:val="24"/>
        </w:rPr>
        <w:t xml:space="preserve">  </w:t>
      </w:r>
      <w:proofErr w:type="gramStart"/>
      <w:r w:rsidR="00155274" w:rsidRPr="00543065">
        <w:rPr>
          <w:szCs w:val="24"/>
        </w:rPr>
        <w:t>Executive Order (EO) 13175 (Consultation and Coordination with Indian Tribal Governments)</w:t>
      </w:r>
      <w:r>
        <w:rPr>
          <w:szCs w:val="24"/>
        </w:rPr>
        <w:t>.</w:t>
      </w:r>
      <w:proofErr w:type="gramEnd"/>
    </w:p>
    <w:p w14:paraId="073F3D10" w14:textId="77777777" w:rsidR="00345426" w:rsidRDefault="00345426" w:rsidP="009F763E">
      <w:pPr>
        <w:contextualSpacing/>
        <w:rPr>
          <w:szCs w:val="24"/>
        </w:rPr>
      </w:pPr>
    </w:p>
    <w:p w14:paraId="201635A1" w14:textId="77777777" w:rsidR="00866130" w:rsidRDefault="00345426" w:rsidP="009F763E">
      <w:pPr>
        <w:contextualSpacing/>
        <w:rPr>
          <w:szCs w:val="24"/>
        </w:rPr>
      </w:pPr>
      <w:r>
        <w:rPr>
          <w:szCs w:val="24"/>
        </w:rPr>
        <w:t>5.4</w:t>
      </w:r>
      <w:r>
        <w:rPr>
          <w:szCs w:val="24"/>
        </w:rPr>
        <w:tab/>
      </w:r>
      <w:r w:rsidRPr="00466CD9">
        <w:rPr>
          <w:b/>
          <w:szCs w:val="24"/>
        </w:rPr>
        <w:t>Consultation</w:t>
      </w:r>
      <w:r>
        <w:rPr>
          <w:szCs w:val="24"/>
        </w:rPr>
        <w:t xml:space="preserve">. </w:t>
      </w:r>
    </w:p>
    <w:p w14:paraId="0F14186A" w14:textId="77777777" w:rsidR="00866130" w:rsidRDefault="00866130" w:rsidP="009F763E">
      <w:pPr>
        <w:contextualSpacing/>
        <w:rPr>
          <w:szCs w:val="24"/>
        </w:rPr>
      </w:pPr>
    </w:p>
    <w:p w14:paraId="10F95375" w14:textId="0F8C872F" w:rsidR="00345426" w:rsidRDefault="00866130" w:rsidP="009F763E">
      <w:pPr>
        <w:contextualSpacing/>
        <w:rPr>
          <w:szCs w:val="24"/>
        </w:rPr>
      </w:pPr>
      <w:r>
        <w:rPr>
          <w:szCs w:val="24"/>
        </w:rPr>
        <w:tab/>
        <w:t>A.</w:t>
      </w:r>
      <w:r>
        <w:rPr>
          <w:szCs w:val="24"/>
        </w:rPr>
        <w:tab/>
      </w:r>
      <w:r w:rsidR="00345426">
        <w:rPr>
          <w:szCs w:val="24"/>
        </w:rPr>
        <w:t xml:space="preserve">Bureaus and offices must consult </w:t>
      </w:r>
      <w:r w:rsidR="004458FE">
        <w:rPr>
          <w:szCs w:val="24"/>
        </w:rPr>
        <w:t>t</w:t>
      </w:r>
      <w:r w:rsidR="00C934A7">
        <w:rPr>
          <w:szCs w:val="24"/>
        </w:rPr>
        <w:t>ribes</w:t>
      </w:r>
      <w:r w:rsidR="00CF08A4">
        <w:rPr>
          <w:szCs w:val="24"/>
        </w:rPr>
        <w:t xml:space="preserve"> and AN</w:t>
      </w:r>
      <w:r w:rsidR="007D12FE">
        <w:rPr>
          <w:szCs w:val="24"/>
        </w:rPr>
        <w:t>CS</w:t>
      </w:r>
      <w:r w:rsidR="00CF08A4">
        <w:rPr>
          <w:szCs w:val="24"/>
        </w:rPr>
        <w:t>A Corporations</w:t>
      </w:r>
      <w:r w:rsidR="00C934A7">
        <w:rPr>
          <w:szCs w:val="24"/>
        </w:rPr>
        <w:t xml:space="preserve"> whenever a DOI plan or action with tribal implications arises</w:t>
      </w:r>
      <w:r w:rsidR="00466CD9">
        <w:rPr>
          <w:szCs w:val="24"/>
        </w:rPr>
        <w:t>.</w:t>
      </w:r>
      <w:r w:rsidR="00BD0097">
        <w:rPr>
          <w:szCs w:val="24"/>
        </w:rPr>
        <w:t xml:space="preserve">  </w:t>
      </w:r>
      <w:r w:rsidR="00345426">
        <w:rPr>
          <w:szCs w:val="24"/>
        </w:rPr>
        <w:t>Bureaus and offic</w:t>
      </w:r>
      <w:r w:rsidR="00466CD9">
        <w:rPr>
          <w:szCs w:val="24"/>
        </w:rPr>
        <w:t>es must</w:t>
      </w:r>
      <w:r w:rsidR="00345426">
        <w:rPr>
          <w:szCs w:val="24"/>
        </w:rPr>
        <w:t xml:space="preserve"> be open and candid with tribal government(s) during consultations </w:t>
      </w:r>
      <w:r w:rsidR="00466CD9">
        <w:rPr>
          <w:szCs w:val="24"/>
        </w:rPr>
        <w:t>and incorporate</w:t>
      </w:r>
      <w:r w:rsidR="00CF3BFC">
        <w:rPr>
          <w:szCs w:val="24"/>
        </w:rPr>
        <w:t xml:space="preserve"> tribal views in their decision</w:t>
      </w:r>
      <w:r w:rsidR="00227471">
        <w:rPr>
          <w:szCs w:val="24"/>
        </w:rPr>
        <w:t xml:space="preserve"> </w:t>
      </w:r>
      <w:r w:rsidR="00466CD9">
        <w:rPr>
          <w:szCs w:val="24"/>
        </w:rPr>
        <w:t xml:space="preserve">making processes.  The consultations, whether initiated by the </w:t>
      </w:r>
      <w:r w:rsidR="004458FE">
        <w:rPr>
          <w:szCs w:val="24"/>
        </w:rPr>
        <w:t>t</w:t>
      </w:r>
      <w:r w:rsidR="00466CD9">
        <w:rPr>
          <w:szCs w:val="24"/>
        </w:rPr>
        <w:t xml:space="preserve">ribe or </w:t>
      </w:r>
      <w:r w:rsidR="00CF3BFC">
        <w:rPr>
          <w:szCs w:val="24"/>
        </w:rPr>
        <w:t>DOI</w:t>
      </w:r>
      <w:r w:rsidR="00466CD9">
        <w:rPr>
          <w:szCs w:val="24"/>
        </w:rPr>
        <w:t>, must be respectful of tribal sovereignty.  Information received will be deemed confidential, unless otherwise provided b</w:t>
      </w:r>
      <w:r w:rsidR="00C031E3">
        <w:rPr>
          <w:szCs w:val="24"/>
        </w:rPr>
        <w:t xml:space="preserve">y applicable </w:t>
      </w:r>
      <w:r w:rsidR="00C031E3" w:rsidRPr="003502A6">
        <w:rPr>
          <w:szCs w:val="24"/>
        </w:rPr>
        <w:t>law, regulation,</w:t>
      </w:r>
      <w:r w:rsidR="00466CD9" w:rsidRPr="003502A6">
        <w:rPr>
          <w:szCs w:val="24"/>
        </w:rPr>
        <w:t xml:space="preserve"> </w:t>
      </w:r>
      <w:r w:rsidR="00B67646">
        <w:rPr>
          <w:szCs w:val="24"/>
        </w:rPr>
        <w:t xml:space="preserve">or </w:t>
      </w:r>
      <w:r w:rsidR="00466CD9" w:rsidRPr="003502A6">
        <w:rPr>
          <w:szCs w:val="24"/>
        </w:rPr>
        <w:t xml:space="preserve">policy, </w:t>
      </w:r>
      <w:r w:rsidR="00B67646">
        <w:rPr>
          <w:szCs w:val="24"/>
        </w:rPr>
        <w:t>if disclosure would negatively impact upon a trust resource or compromise the trustee’s legal position in anticipation of/or during administrative proceedings or litigation on behalf of the tribal government(s).</w:t>
      </w:r>
      <w:r w:rsidR="00C031E3">
        <w:rPr>
          <w:szCs w:val="24"/>
        </w:rPr>
        <w:t xml:space="preserve"> </w:t>
      </w:r>
      <w:r w:rsidR="00466CD9">
        <w:rPr>
          <w:szCs w:val="24"/>
        </w:rPr>
        <w:t xml:space="preserve">  </w:t>
      </w:r>
    </w:p>
    <w:p w14:paraId="480364C7" w14:textId="77777777" w:rsidR="00866130" w:rsidRDefault="00866130" w:rsidP="009F763E">
      <w:pPr>
        <w:contextualSpacing/>
        <w:rPr>
          <w:szCs w:val="24"/>
        </w:rPr>
      </w:pPr>
    </w:p>
    <w:p w14:paraId="453E05C0" w14:textId="0EA0DA13" w:rsidR="00866130" w:rsidRPr="00F50F36" w:rsidRDefault="00866130" w:rsidP="00866130">
      <w:pPr>
        <w:pStyle w:val="NoSpacing"/>
      </w:pPr>
      <w:r>
        <w:rPr>
          <w:szCs w:val="24"/>
        </w:rPr>
        <w:tab/>
        <w:t>B.</w:t>
      </w:r>
      <w:r>
        <w:rPr>
          <w:szCs w:val="24"/>
        </w:rPr>
        <w:tab/>
      </w:r>
      <w:r>
        <w:t>The basis of consultation is rooted in meaningful dialogue where</w:t>
      </w:r>
      <w:r w:rsidR="00634463">
        <w:t xml:space="preserve"> the</w:t>
      </w:r>
      <w:r>
        <w:t xml:space="preserve"> viewpoints </w:t>
      </w:r>
      <w:r w:rsidR="00A532E3">
        <w:t xml:space="preserve">of </w:t>
      </w:r>
      <w:r w:rsidR="004458FE">
        <w:t>t</w:t>
      </w:r>
      <w:r w:rsidR="00A532E3">
        <w:t xml:space="preserve">ribes and </w:t>
      </w:r>
      <w:r w:rsidR="00CF3BFC">
        <w:t>DOI</w:t>
      </w:r>
      <w:r w:rsidR="00A532E3">
        <w:t xml:space="preserve">, including its </w:t>
      </w:r>
      <w:r w:rsidR="00A452F0">
        <w:t>b</w:t>
      </w:r>
      <w:r w:rsidR="00A532E3">
        <w:t xml:space="preserve">ureaus and </w:t>
      </w:r>
      <w:r w:rsidR="00A452F0">
        <w:t>o</w:t>
      </w:r>
      <w:r w:rsidR="00001C8E">
        <w:t>ffices, are</w:t>
      </w:r>
      <w:r>
        <w:t xml:space="preserve"> shared, discussed, and analyzed.  A </w:t>
      </w:r>
      <w:proofErr w:type="gramStart"/>
      <w:r w:rsidR="00A452F0">
        <w:t>c</w:t>
      </w:r>
      <w:r>
        <w:t>onsultation</w:t>
      </w:r>
      <w:proofErr w:type="gramEnd"/>
      <w:r>
        <w:t xml:space="preserve"> session is, but is not limited to, in-person meetings, video-conferences,</w:t>
      </w:r>
      <w:r w:rsidR="00E81CD3">
        <w:t xml:space="preserve"> </w:t>
      </w:r>
      <w:r>
        <w:t>teleconferences</w:t>
      </w:r>
      <w:r w:rsidR="00E81CD3">
        <w:t>, and correspondence</w:t>
      </w:r>
      <w:r>
        <w:t xml:space="preserve"> to discuss </w:t>
      </w:r>
      <w:r w:rsidR="00E81CD3">
        <w:t xml:space="preserve">a </w:t>
      </w:r>
      <w:r>
        <w:t xml:space="preserve">specific issue.  </w:t>
      </w:r>
      <w:r w:rsidR="00E81CD3">
        <w:t>In the case of in-person meetings, video-conferences, and teleconferences, t</w:t>
      </w:r>
      <w:r>
        <w:t xml:space="preserve">he consultation may be expanded upon through subsequent correspondence after </w:t>
      </w:r>
      <w:r w:rsidR="00001C8E">
        <w:t>consultation</w:t>
      </w:r>
      <w:r w:rsidR="00B67646">
        <w:t xml:space="preserve"> is initiated</w:t>
      </w:r>
      <w:r w:rsidR="00E81CD3">
        <w:t xml:space="preserve">.  </w:t>
      </w:r>
      <w:r w:rsidR="00567C01">
        <w:t>On</w:t>
      </w:r>
      <w:r>
        <w:t xml:space="preserve"> a case-by-case basis, consultation may be held through a series of written correspondence with the tribal leadership, but </w:t>
      </w:r>
      <w:r w:rsidR="00A15080">
        <w:t xml:space="preserve">this process of utilizing </w:t>
      </w:r>
      <w:r w:rsidR="00E94007">
        <w:t xml:space="preserve">written correspondence </w:t>
      </w:r>
      <w:r>
        <w:t xml:space="preserve">should only be used when other methods </w:t>
      </w:r>
      <w:r w:rsidR="00276E30">
        <w:t xml:space="preserve">    </w:t>
      </w:r>
      <w:r>
        <w:t xml:space="preserve">of dialogue are not feasible.  </w:t>
      </w:r>
    </w:p>
    <w:p w14:paraId="776F8052" w14:textId="77777777" w:rsidR="006C30F6" w:rsidRDefault="006C30F6" w:rsidP="006C30F6">
      <w:pPr>
        <w:contextualSpacing/>
        <w:rPr>
          <w:b/>
          <w:szCs w:val="24"/>
        </w:rPr>
      </w:pPr>
    </w:p>
    <w:p w14:paraId="0B9AC75F" w14:textId="074BAD82" w:rsidR="00CE18DC" w:rsidRDefault="00466CD9" w:rsidP="00AD13D1">
      <w:pPr>
        <w:pStyle w:val="ListParagraph"/>
        <w:ind w:left="0"/>
      </w:pPr>
      <w:r>
        <w:lastRenderedPageBreak/>
        <w:t>5.5</w:t>
      </w:r>
      <w:r w:rsidR="001F700F">
        <w:t xml:space="preserve"> </w:t>
      </w:r>
      <w:r w:rsidR="001F700F">
        <w:tab/>
      </w:r>
      <w:r w:rsidR="00CE18DC" w:rsidRPr="00CE18DC">
        <w:rPr>
          <w:b/>
        </w:rPr>
        <w:t>Consultation</w:t>
      </w:r>
      <w:r w:rsidR="00CE18DC">
        <w:t xml:space="preserve"> </w:t>
      </w:r>
      <w:r w:rsidR="00CE18DC">
        <w:rPr>
          <w:b/>
        </w:rPr>
        <w:t>Procedures</w:t>
      </w:r>
      <w:r w:rsidR="002513BB" w:rsidRPr="00C9707B">
        <w:t>.</w:t>
      </w:r>
      <w:r w:rsidR="00BD0097">
        <w:t xml:space="preserve">  </w:t>
      </w:r>
      <w:r w:rsidR="006A6D3E">
        <w:t>Bureaus/</w:t>
      </w:r>
      <w:r w:rsidR="00C9707B">
        <w:t>o</w:t>
      </w:r>
      <w:r>
        <w:t>ffices will</w:t>
      </w:r>
      <w:r w:rsidR="009E2009" w:rsidRPr="0060100A">
        <w:t xml:space="preserve"> ca</w:t>
      </w:r>
      <w:r w:rsidR="009E2009">
        <w:t xml:space="preserve">rry out the consultation stages </w:t>
      </w:r>
      <w:r w:rsidR="00C9707B">
        <w:t xml:space="preserve">described below for </w:t>
      </w:r>
      <w:r w:rsidR="008330C7">
        <w:t>a</w:t>
      </w:r>
      <w:r w:rsidR="00DA7177">
        <w:t xml:space="preserve"> </w:t>
      </w:r>
      <w:r w:rsidR="004458FE">
        <w:t>d</w:t>
      </w:r>
      <w:r w:rsidR="009E2009" w:rsidRPr="0060100A">
        <w:t xml:space="preserve">epartmental </w:t>
      </w:r>
      <w:r w:rsidR="00707402">
        <w:t>a</w:t>
      </w:r>
      <w:r w:rsidR="009E2009" w:rsidRPr="0060100A">
        <w:t xml:space="preserve">ction with </w:t>
      </w:r>
      <w:r w:rsidR="00707402">
        <w:t xml:space="preserve">tribal implications.  </w:t>
      </w:r>
    </w:p>
    <w:p w14:paraId="4BDF4B79" w14:textId="77777777" w:rsidR="00895876" w:rsidRDefault="00AD13D1" w:rsidP="00AD13D1">
      <w:pPr>
        <w:pStyle w:val="ListParagraph"/>
        <w:ind w:left="0"/>
        <w:rPr>
          <w:szCs w:val="24"/>
        </w:rPr>
      </w:pPr>
      <w:r>
        <w:rPr>
          <w:szCs w:val="24"/>
        </w:rPr>
        <w:tab/>
      </w:r>
    </w:p>
    <w:p w14:paraId="505F3121" w14:textId="77777777" w:rsidR="008330C7" w:rsidRPr="00AD13D1" w:rsidRDefault="00895876" w:rsidP="00AD13D1">
      <w:pPr>
        <w:pStyle w:val="ListParagraph"/>
        <w:ind w:left="0"/>
      </w:pPr>
      <w:r>
        <w:rPr>
          <w:szCs w:val="24"/>
        </w:rPr>
        <w:tab/>
      </w:r>
      <w:r w:rsidR="00AD13D1">
        <w:rPr>
          <w:szCs w:val="24"/>
        </w:rPr>
        <w:t>A.</w:t>
      </w:r>
      <w:r w:rsidR="00AD13D1">
        <w:rPr>
          <w:szCs w:val="24"/>
        </w:rPr>
        <w:tab/>
      </w:r>
      <w:r w:rsidR="00EF675A" w:rsidRPr="00AD13D1">
        <w:rPr>
          <w:szCs w:val="24"/>
          <w:u w:val="single"/>
        </w:rPr>
        <w:t>Initial Planning Stage</w:t>
      </w:r>
      <w:r w:rsidR="00EF675A" w:rsidRPr="00AD13D1">
        <w:rPr>
          <w:szCs w:val="24"/>
        </w:rPr>
        <w:t xml:space="preserve">. </w:t>
      </w:r>
    </w:p>
    <w:p w14:paraId="6EECA676" w14:textId="77777777" w:rsidR="008330C7" w:rsidRDefault="008330C7" w:rsidP="008330C7">
      <w:pPr>
        <w:pStyle w:val="ListParagraph"/>
        <w:ind w:left="0"/>
        <w:rPr>
          <w:szCs w:val="24"/>
        </w:rPr>
      </w:pPr>
    </w:p>
    <w:p w14:paraId="07BAF727" w14:textId="46F2D42D" w:rsidR="008330C7" w:rsidRDefault="008330C7" w:rsidP="008330C7">
      <w:pPr>
        <w:pStyle w:val="ListParagraph"/>
        <w:ind w:left="0"/>
        <w:rPr>
          <w:szCs w:val="24"/>
        </w:rPr>
      </w:pPr>
      <w:r>
        <w:rPr>
          <w:szCs w:val="24"/>
        </w:rPr>
        <w:tab/>
      </w:r>
      <w:r w:rsidR="00AD13D1">
        <w:rPr>
          <w:szCs w:val="24"/>
        </w:rPr>
        <w:tab/>
      </w:r>
      <w:r>
        <w:rPr>
          <w:szCs w:val="24"/>
        </w:rPr>
        <w:t>(1)</w:t>
      </w:r>
      <w:r>
        <w:rPr>
          <w:szCs w:val="24"/>
        </w:rPr>
        <w:tab/>
      </w:r>
      <w:r w:rsidR="002B5FF0">
        <w:rPr>
          <w:szCs w:val="24"/>
        </w:rPr>
        <w:t xml:space="preserve">The </w:t>
      </w:r>
      <w:r w:rsidR="00AD13D1">
        <w:rPr>
          <w:szCs w:val="24"/>
        </w:rPr>
        <w:t>appropriate DOI</w:t>
      </w:r>
      <w:r w:rsidR="002B5FF0" w:rsidRPr="00D960AF">
        <w:rPr>
          <w:szCs w:val="24"/>
        </w:rPr>
        <w:t xml:space="preserve"> officials</w:t>
      </w:r>
      <w:r w:rsidR="002B5FF0">
        <w:rPr>
          <w:szCs w:val="24"/>
        </w:rPr>
        <w:t xml:space="preserve"> within a</w:t>
      </w:r>
      <w:r>
        <w:rPr>
          <w:szCs w:val="24"/>
        </w:rPr>
        <w:t xml:space="preserve"> b</w:t>
      </w:r>
      <w:r w:rsidR="00B223B4">
        <w:rPr>
          <w:szCs w:val="24"/>
        </w:rPr>
        <w:t>ureau/</w:t>
      </w:r>
      <w:r>
        <w:rPr>
          <w:szCs w:val="24"/>
        </w:rPr>
        <w:t>o</w:t>
      </w:r>
      <w:r w:rsidR="00EF675A" w:rsidRPr="00C33838">
        <w:rPr>
          <w:szCs w:val="24"/>
        </w:rPr>
        <w:t xml:space="preserve">ffice will </w:t>
      </w:r>
      <w:r w:rsidR="00A347A0">
        <w:rPr>
          <w:szCs w:val="24"/>
        </w:rPr>
        <w:t>provide notice to, and begin consultation</w:t>
      </w:r>
      <w:r w:rsidR="00EF675A" w:rsidRPr="00C33838">
        <w:rPr>
          <w:szCs w:val="24"/>
        </w:rPr>
        <w:t xml:space="preserve"> with Indian </w:t>
      </w:r>
      <w:r w:rsidR="004458FE">
        <w:rPr>
          <w:szCs w:val="24"/>
        </w:rPr>
        <w:t>t</w:t>
      </w:r>
      <w:r w:rsidR="00EF675A" w:rsidRPr="00C33838">
        <w:rPr>
          <w:szCs w:val="24"/>
        </w:rPr>
        <w:t>ribes as early as possible when consi</w:t>
      </w:r>
      <w:r w:rsidR="008F5C68">
        <w:rPr>
          <w:szCs w:val="24"/>
        </w:rPr>
        <w:t xml:space="preserve">dering a </w:t>
      </w:r>
      <w:r w:rsidR="004458FE">
        <w:rPr>
          <w:szCs w:val="24"/>
        </w:rPr>
        <w:t>d</w:t>
      </w:r>
      <w:r w:rsidR="008F5C68">
        <w:rPr>
          <w:szCs w:val="24"/>
        </w:rPr>
        <w:t>epartmental action with tribal i</w:t>
      </w:r>
      <w:r w:rsidR="00EF675A" w:rsidRPr="00C33838">
        <w:rPr>
          <w:szCs w:val="24"/>
        </w:rPr>
        <w:t>mplications</w:t>
      </w:r>
      <w:r w:rsidR="002B5FF0">
        <w:rPr>
          <w:szCs w:val="24"/>
        </w:rPr>
        <w:t xml:space="preserve"> </w:t>
      </w:r>
      <w:r w:rsidR="002B5FF0" w:rsidRPr="00D960AF">
        <w:rPr>
          <w:szCs w:val="24"/>
        </w:rPr>
        <w:t xml:space="preserve">and provide Indian </w:t>
      </w:r>
      <w:r w:rsidR="004458FE">
        <w:rPr>
          <w:szCs w:val="24"/>
        </w:rPr>
        <w:t>t</w:t>
      </w:r>
      <w:r w:rsidR="002B5FF0" w:rsidRPr="00D960AF">
        <w:rPr>
          <w:szCs w:val="24"/>
        </w:rPr>
        <w:t>ribes a meaningful opportunity to participate in the consultation process</w:t>
      </w:r>
      <w:r w:rsidR="002B5FF0">
        <w:rPr>
          <w:szCs w:val="24"/>
        </w:rPr>
        <w:t>.</w:t>
      </w:r>
      <w:r w:rsidR="00EF675A" w:rsidRPr="00C33838">
        <w:rPr>
          <w:szCs w:val="24"/>
        </w:rPr>
        <w:t xml:space="preserve">  </w:t>
      </w:r>
      <w:r w:rsidR="00DF1B2F">
        <w:rPr>
          <w:szCs w:val="24"/>
        </w:rPr>
        <w:t>P</w:t>
      </w:r>
      <w:r w:rsidR="00DE3CF4">
        <w:rPr>
          <w:szCs w:val="24"/>
        </w:rPr>
        <w:t>roviding notification (the distribution o</w:t>
      </w:r>
      <w:r w:rsidR="008F5C68">
        <w:rPr>
          <w:szCs w:val="24"/>
        </w:rPr>
        <w:t xml:space="preserve">f information from one or more </w:t>
      </w:r>
      <w:r w:rsidR="002F6DC5">
        <w:rPr>
          <w:szCs w:val="24"/>
        </w:rPr>
        <w:t>D</w:t>
      </w:r>
      <w:r w:rsidR="004458FE">
        <w:rPr>
          <w:szCs w:val="24"/>
        </w:rPr>
        <w:t>OI</w:t>
      </w:r>
      <w:r w:rsidR="006F06F1">
        <w:rPr>
          <w:szCs w:val="24"/>
        </w:rPr>
        <w:t xml:space="preserve"> </w:t>
      </w:r>
      <w:r w:rsidR="00DE3CF4">
        <w:rPr>
          <w:szCs w:val="24"/>
        </w:rPr>
        <w:t>offic</w:t>
      </w:r>
      <w:r w:rsidR="008F5C68">
        <w:rPr>
          <w:szCs w:val="24"/>
        </w:rPr>
        <w:t>es) to one or</w:t>
      </w:r>
      <w:r w:rsidR="002F6DC5">
        <w:rPr>
          <w:szCs w:val="24"/>
        </w:rPr>
        <w:t xml:space="preserve"> more </w:t>
      </w:r>
      <w:r w:rsidR="004458FE">
        <w:rPr>
          <w:szCs w:val="24"/>
        </w:rPr>
        <w:t>t</w:t>
      </w:r>
      <w:r w:rsidR="002F6DC5">
        <w:rPr>
          <w:szCs w:val="24"/>
        </w:rPr>
        <w:t xml:space="preserve">ribes of a </w:t>
      </w:r>
      <w:r w:rsidR="004458FE">
        <w:rPr>
          <w:szCs w:val="24"/>
        </w:rPr>
        <w:t>d</w:t>
      </w:r>
      <w:r w:rsidR="00DE3CF4">
        <w:rPr>
          <w:szCs w:val="24"/>
        </w:rPr>
        <w:t xml:space="preserve">epartmental action as a stand-alone effort is not consultation.  </w:t>
      </w:r>
      <w:r>
        <w:rPr>
          <w:szCs w:val="24"/>
        </w:rPr>
        <w:t>(</w:t>
      </w:r>
      <w:r w:rsidR="00AD13D1">
        <w:rPr>
          <w:szCs w:val="24"/>
        </w:rPr>
        <w:t>The appropriate DOI</w:t>
      </w:r>
      <w:r w:rsidR="002B5FF0" w:rsidRPr="00D960AF">
        <w:rPr>
          <w:szCs w:val="24"/>
        </w:rPr>
        <w:t xml:space="preserve"> officials</w:t>
      </w:r>
      <w:r w:rsidR="002B5FF0">
        <w:rPr>
          <w:szCs w:val="24"/>
        </w:rPr>
        <w:t xml:space="preserve"> </w:t>
      </w:r>
      <w:r w:rsidR="002B5FF0" w:rsidRPr="00D960AF">
        <w:rPr>
          <w:szCs w:val="24"/>
        </w:rPr>
        <w:t xml:space="preserve">are those individuals who are knowledgeable about the matters at hand, are authorized to speak for </w:t>
      </w:r>
      <w:r w:rsidR="00A452F0">
        <w:rPr>
          <w:szCs w:val="24"/>
        </w:rPr>
        <w:t>a bureau/office</w:t>
      </w:r>
      <w:r w:rsidR="002B5FF0" w:rsidRPr="00D960AF">
        <w:rPr>
          <w:szCs w:val="24"/>
        </w:rPr>
        <w:t xml:space="preserve">, and </w:t>
      </w:r>
      <w:r w:rsidR="00A452F0">
        <w:rPr>
          <w:szCs w:val="24"/>
        </w:rPr>
        <w:t xml:space="preserve">who </w:t>
      </w:r>
      <w:r w:rsidR="002B5FF0" w:rsidRPr="00D960AF">
        <w:rPr>
          <w:szCs w:val="24"/>
        </w:rPr>
        <w:t xml:space="preserve">exercise delegated authority in the disposition </w:t>
      </w:r>
      <w:r w:rsidR="00AD13D1">
        <w:rPr>
          <w:szCs w:val="24"/>
        </w:rPr>
        <w:t>and implementation of a bureau/office</w:t>
      </w:r>
      <w:r w:rsidR="002B5FF0" w:rsidRPr="00D960AF">
        <w:rPr>
          <w:szCs w:val="24"/>
        </w:rPr>
        <w:t xml:space="preserve"> action</w:t>
      </w:r>
      <w:r w:rsidR="002B5FF0">
        <w:rPr>
          <w:szCs w:val="24"/>
        </w:rPr>
        <w:t>.</w:t>
      </w:r>
      <w:r>
        <w:rPr>
          <w:szCs w:val="24"/>
        </w:rPr>
        <w:t>)</w:t>
      </w:r>
      <w:r w:rsidR="002B5FF0">
        <w:rPr>
          <w:szCs w:val="24"/>
        </w:rPr>
        <w:t xml:space="preserve"> </w:t>
      </w:r>
    </w:p>
    <w:p w14:paraId="2AA8576E" w14:textId="77777777" w:rsidR="008330C7" w:rsidRDefault="008330C7" w:rsidP="008330C7">
      <w:pPr>
        <w:pStyle w:val="ListParagraph"/>
        <w:ind w:left="0"/>
        <w:rPr>
          <w:szCs w:val="24"/>
        </w:rPr>
      </w:pPr>
    </w:p>
    <w:p w14:paraId="172EDCA6" w14:textId="6174C741" w:rsidR="00374D62" w:rsidRDefault="008330C7" w:rsidP="008330C7">
      <w:pPr>
        <w:pStyle w:val="ListParagraph"/>
        <w:ind w:left="0"/>
        <w:rPr>
          <w:szCs w:val="24"/>
        </w:rPr>
      </w:pPr>
      <w:r>
        <w:rPr>
          <w:szCs w:val="24"/>
        </w:rPr>
        <w:tab/>
      </w:r>
      <w:r w:rsidR="00AD13D1">
        <w:rPr>
          <w:szCs w:val="24"/>
        </w:rPr>
        <w:tab/>
      </w:r>
      <w:r>
        <w:rPr>
          <w:szCs w:val="24"/>
        </w:rPr>
        <w:t>(2)</w:t>
      </w:r>
      <w:r>
        <w:rPr>
          <w:szCs w:val="24"/>
        </w:rPr>
        <w:tab/>
      </w:r>
      <w:r w:rsidR="00EF675A" w:rsidRPr="00C33838">
        <w:rPr>
          <w:szCs w:val="24"/>
        </w:rPr>
        <w:t xml:space="preserve">Notification of a consultation should include sufficient detail of the </w:t>
      </w:r>
      <w:r w:rsidR="008F5C68">
        <w:rPr>
          <w:szCs w:val="24"/>
        </w:rPr>
        <w:t>topic to be discussed to allow t</w:t>
      </w:r>
      <w:r w:rsidR="00EF675A" w:rsidRPr="00C33838">
        <w:rPr>
          <w:szCs w:val="24"/>
        </w:rPr>
        <w:t xml:space="preserve">ribal leaders an opportunity to fully engage in the consultation. </w:t>
      </w:r>
      <w:r w:rsidR="002B5FF0">
        <w:rPr>
          <w:szCs w:val="24"/>
        </w:rPr>
        <w:t xml:space="preserve">  </w:t>
      </w:r>
      <w:r w:rsidR="002B5FF0" w:rsidRPr="00C33838">
        <w:rPr>
          <w:szCs w:val="24"/>
        </w:rPr>
        <w:t xml:space="preserve">Adequate notice entails providing a description of the topic(s) to be discussed, a timeline of the process, and possible outcomes.  </w:t>
      </w:r>
      <w:r w:rsidR="00EF675A" w:rsidRPr="00C33838">
        <w:rPr>
          <w:szCs w:val="24"/>
        </w:rPr>
        <w:t xml:space="preserve">The notice should also give </w:t>
      </w:r>
      <w:r w:rsidR="00E5056A">
        <w:rPr>
          <w:szCs w:val="24"/>
        </w:rPr>
        <w:t>t</w:t>
      </w:r>
      <w:r w:rsidR="00EF675A" w:rsidRPr="00C33838">
        <w:rPr>
          <w:szCs w:val="24"/>
        </w:rPr>
        <w:t xml:space="preserve">ribal leaders the opportunity to provide feedback prior to the consultation, including </w:t>
      </w:r>
      <w:r w:rsidR="003A4EBB">
        <w:rPr>
          <w:szCs w:val="24"/>
        </w:rPr>
        <w:t xml:space="preserve">time to </w:t>
      </w:r>
      <w:r w:rsidR="00EF675A" w:rsidRPr="00C33838">
        <w:rPr>
          <w:szCs w:val="24"/>
        </w:rPr>
        <w:t xml:space="preserve">request technical assistance </w:t>
      </w:r>
      <w:r w:rsidR="003A4EBB">
        <w:rPr>
          <w:szCs w:val="24"/>
        </w:rPr>
        <w:t>and/</w:t>
      </w:r>
      <w:r w:rsidR="00EF675A" w:rsidRPr="00C33838">
        <w:rPr>
          <w:szCs w:val="24"/>
        </w:rPr>
        <w:t xml:space="preserve">or clarification </w:t>
      </w:r>
      <w:r w:rsidR="003A4EBB">
        <w:rPr>
          <w:szCs w:val="24"/>
        </w:rPr>
        <w:t xml:space="preserve">on </w:t>
      </w:r>
      <w:r w:rsidR="00EF675A" w:rsidRPr="00C33838">
        <w:rPr>
          <w:szCs w:val="24"/>
        </w:rPr>
        <w:t>how the consul</w:t>
      </w:r>
      <w:r w:rsidR="00CE18DC">
        <w:rPr>
          <w:szCs w:val="24"/>
        </w:rPr>
        <w:t>tation process conforms to the requirements in this chapter</w:t>
      </w:r>
      <w:r w:rsidR="003A4EBB">
        <w:rPr>
          <w:szCs w:val="24"/>
        </w:rPr>
        <w:t xml:space="preserve">.  </w:t>
      </w:r>
    </w:p>
    <w:p w14:paraId="7BD37CEE" w14:textId="77777777" w:rsidR="00374D62" w:rsidRDefault="00374D62" w:rsidP="008330C7">
      <w:pPr>
        <w:pStyle w:val="ListParagraph"/>
        <w:ind w:left="0"/>
        <w:rPr>
          <w:szCs w:val="24"/>
        </w:rPr>
      </w:pPr>
    </w:p>
    <w:p w14:paraId="13FED110" w14:textId="13658C18" w:rsidR="00374D62" w:rsidRDefault="00374D62" w:rsidP="008330C7">
      <w:pPr>
        <w:pStyle w:val="ListParagraph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)</w:t>
      </w:r>
      <w:r>
        <w:rPr>
          <w:szCs w:val="24"/>
        </w:rPr>
        <w:tab/>
      </w:r>
      <w:r w:rsidR="00EF675A" w:rsidRPr="00C33838">
        <w:rPr>
          <w:szCs w:val="24"/>
        </w:rPr>
        <w:t xml:space="preserve">The </w:t>
      </w:r>
      <w:r w:rsidR="008330C7">
        <w:rPr>
          <w:szCs w:val="24"/>
        </w:rPr>
        <w:t>b</w:t>
      </w:r>
      <w:r w:rsidR="00B223B4">
        <w:rPr>
          <w:szCs w:val="24"/>
        </w:rPr>
        <w:t>ureau/</w:t>
      </w:r>
      <w:r w:rsidR="008330C7">
        <w:rPr>
          <w:szCs w:val="24"/>
        </w:rPr>
        <w:t>o</w:t>
      </w:r>
      <w:r w:rsidR="00EF675A" w:rsidRPr="00C33838">
        <w:rPr>
          <w:szCs w:val="24"/>
        </w:rPr>
        <w:t xml:space="preserve">ffice will ensure that </w:t>
      </w:r>
      <w:r w:rsidR="00CF08A4">
        <w:rPr>
          <w:szCs w:val="24"/>
        </w:rPr>
        <w:t xml:space="preserve">public </w:t>
      </w:r>
      <w:r w:rsidR="00EF675A" w:rsidRPr="00C33838">
        <w:rPr>
          <w:szCs w:val="24"/>
        </w:rPr>
        <w:t xml:space="preserve">notice is given at least </w:t>
      </w:r>
      <w:r w:rsidR="004458FE">
        <w:rPr>
          <w:szCs w:val="24"/>
        </w:rPr>
        <w:t xml:space="preserve">  </w:t>
      </w:r>
      <w:r w:rsidR="00EF675A" w:rsidRPr="00C33838">
        <w:rPr>
          <w:szCs w:val="24"/>
        </w:rPr>
        <w:t>30</w:t>
      </w:r>
      <w:r w:rsidR="004458FE">
        <w:rPr>
          <w:szCs w:val="24"/>
        </w:rPr>
        <w:t xml:space="preserve"> </w:t>
      </w:r>
      <w:r w:rsidR="00EF675A" w:rsidRPr="00C33838">
        <w:rPr>
          <w:szCs w:val="24"/>
        </w:rPr>
        <w:t>days prio</w:t>
      </w:r>
      <w:r w:rsidR="00E5056A">
        <w:rPr>
          <w:szCs w:val="24"/>
        </w:rPr>
        <w:t xml:space="preserve">r to a scheduled consultation.  </w:t>
      </w:r>
      <w:r w:rsidR="00EF675A" w:rsidRPr="00C33838">
        <w:rPr>
          <w:szCs w:val="24"/>
        </w:rPr>
        <w:t>If exceptio</w:t>
      </w:r>
      <w:r w:rsidR="003A4EBB">
        <w:rPr>
          <w:szCs w:val="24"/>
        </w:rPr>
        <w:t>nal circumstances prevent notification wit</w:t>
      </w:r>
      <w:r w:rsidR="00EF675A" w:rsidRPr="00C33838">
        <w:rPr>
          <w:szCs w:val="24"/>
        </w:rPr>
        <w:t>hin</w:t>
      </w:r>
      <w:r w:rsidR="00A452F0">
        <w:rPr>
          <w:szCs w:val="24"/>
        </w:rPr>
        <w:t xml:space="preserve"> </w:t>
      </w:r>
      <w:r w:rsidR="00EF675A" w:rsidRPr="00C33838">
        <w:rPr>
          <w:szCs w:val="24"/>
        </w:rPr>
        <w:t>30</w:t>
      </w:r>
      <w:r w:rsidR="004458FE">
        <w:rPr>
          <w:szCs w:val="24"/>
        </w:rPr>
        <w:t xml:space="preserve"> </w:t>
      </w:r>
      <w:r w:rsidR="00EF675A" w:rsidRPr="00C33838">
        <w:rPr>
          <w:szCs w:val="24"/>
        </w:rPr>
        <w:t xml:space="preserve">days of the consultation, an explanation for the abbreviated notification will be provided in the </w:t>
      </w:r>
      <w:r w:rsidR="003A4EBB">
        <w:rPr>
          <w:szCs w:val="24"/>
        </w:rPr>
        <w:t xml:space="preserve">invitation </w:t>
      </w:r>
      <w:r w:rsidR="00EF675A" w:rsidRPr="00C33838">
        <w:rPr>
          <w:szCs w:val="24"/>
        </w:rPr>
        <w:t xml:space="preserve">letter.  </w:t>
      </w:r>
    </w:p>
    <w:p w14:paraId="31A712E1" w14:textId="77777777" w:rsidR="00374D62" w:rsidRDefault="00374D62" w:rsidP="008330C7">
      <w:pPr>
        <w:pStyle w:val="ListParagraph"/>
        <w:ind w:left="0"/>
        <w:rPr>
          <w:szCs w:val="24"/>
        </w:rPr>
      </w:pPr>
    </w:p>
    <w:p w14:paraId="718C00D3" w14:textId="21DFD499" w:rsidR="00EF675A" w:rsidRPr="003502A6" w:rsidRDefault="00374D62" w:rsidP="008330C7">
      <w:pPr>
        <w:pStyle w:val="ListParagraph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(ii)</w:t>
      </w:r>
      <w:r>
        <w:rPr>
          <w:szCs w:val="24"/>
        </w:rPr>
        <w:tab/>
      </w:r>
      <w:r w:rsidR="00CF08A4">
        <w:rPr>
          <w:szCs w:val="24"/>
        </w:rPr>
        <w:t>A</w:t>
      </w:r>
      <w:r w:rsidR="00EF675A" w:rsidRPr="00C33838">
        <w:rPr>
          <w:szCs w:val="24"/>
        </w:rPr>
        <w:t xml:space="preserve"> </w:t>
      </w:r>
      <w:r w:rsidR="004458FE">
        <w:rPr>
          <w:szCs w:val="24"/>
        </w:rPr>
        <w:t>t</w:t>
      </w:r>
      <w:r w:rsidR="00EF675A" w:rsidRPr="00C33838">
        <w:rPr>
          <w:szCs w:val="24"/>
        </w:rPr>
        <w:t>ribe may r</w:t>
      </w:r>
      <w:r w:rsidR="00552229">
        <w:rPr>
          <w:szCs w:val="24"/>
        </w:rPr>
        <w:t xml:space="preserve">equest </w:t>
      </w:r>
      <w:r w:rsidR="00CF08A4">
        <w:rPr>
          <w:szCs w:val="24"/>
        </w:rPr>
        <w:t xml:space="preserve">that </w:t>
      </w:r>
      <w:r w:rsidR="00CF3BFC">
        <w:rPr>
          <w:szCs w:val="24"/>
        </w:rPr>
        <w:t>DOI</w:t>
      </w:r>
      <w:r w:rsidR="00CF08A4" w:rsidRPr="003502A6">
        <w:rPr>
          <w:szCs w:val="24"/>
        </w:rPr>
        <w:t xml:space="preserve"> provide more than 30</w:t>
      </w:r>
      <w:r w:rsidR="004458FE">
        <w:rPr>
          <w:szCs w:val="24"/>
        </w:rPr>
        <w:t xml:space="preserve"> </w:t>
      </w:r>
      <w:proofErr w:type="spellStart"/>
      <w:r w:rsidR="00A452F0" w:rsidRPr="003502A6">
        <w:rPr>
          <w:szCs w:val="24"/>
        </w:rPr>
        <w:t>days</w:t>
      </w:r>
      <w:r w:rsidR="00CF08A4" w:rsidRPr="003502A6">
        <w:rPr>
          <w:szCs w:val="24"/>
        </w:rPr>
        <w:t xml:space="preserve"> notice</w:t>
      </w:r>
      <w:proofErr w:type="spellEnd"/>
      <w:r w:rsidR="00CF08A4" w:rsidRPr="003502A6">
        <w:rPr>
          <w:szCs w:val="24"/>
        </w:rPr>
        <w:t xml:space="preserve"> prior to consultation and, at its discretion, </w:t>
      </w:r>
      <w:r w:rsidR="00CF3BFC">
        <w:rPr>
          <w:szCs w:val="24"/>
        </w:rPr>
        <w:t>DOI</w:t>
      </w:r>
      <w:r w:rsidR="00CF08A4" w:rsidRPr="003502A6">
        <w:rPr>
          <w:szCs w:val="24"/>
        </w:rPr>
        <w:t xml:space="preserve"> may grant such requests</w:t>
      </w:r>
      <w:r w:rsidR="00CE18DC" w:rsidRPr="003502A6">
        <w:rPr>
          <w:szCs w:val="24"/>
        </w:rPr>
        <w:t>.</w:t>
      </w:r>
      <w:r w:rsidR="002B5FF0" w:rsidRPr="003502A6">
        <w:rPr>
          <w:szCs w:val="24"/>
        </w:rPr>
        <w:t xml:space="preserve"> </w:t>
      </w:r>
    </w:p>
    <w:p w14:paraId="23089C9C" w14:textId="77777777" w:rsidR="0035545B" w:rsidRPr="003502A6" w:rsidRDefault="0035545B" w:rsidP="008330C7">
      <w:pPr>
        <w:contextualSpacing/>
        <w:rPr>
          <w:szCs w:val="24"/>
        </w:rPr>
      </w:pPr>
    </w:p>
    <w:p w14:paraId="1C6CCD30" w14:textId="3E23FDEA" w:rsidR="003A4EBB" w:rsidRPr="003502A6" w:rsidRDefault="008330C7" w:rsidP="003A4EBB">
      <w:pPr>
        <w:contextualSpacing/>
        <w:rPr>
          <w:szCs w:val="24"/>
        </w:rPr>
      </w:pPr>
      <w:r w:rsidRPr="003502A6">
        <w:rPr>
          <w:szCs w:val="24"/>
        </w:rPr>
        <w:tab/>
      </w:r>
      <w:r w:rsidR="003A4EBB" w:rsidRPr="003502A6">
        <w:rPr>
          <w:szCs w:val="24"/>
        </w:rPr>
        <w:tab/>
      </w:r>
      <w:r w:rsidRPr="003502A6">
        <w:rPr>
          <w:szCs w:val="24"/>
        </w:rPr>
        <w:t>(3)</w:t>
      </w:r>
      <w:r w:rsidRPr="003502A6">
        <w:rPr>
          <w:szCs w:val="24"/>
        </w:rPr>
        <w:tab/>
      </w:r>
      <w:r w:rsidR="00861C2E" w:rsidRPr="003502A6">
        <w:rPr>
          <w:szCs w:val="24"/>
        </w:rPr>
        <w:t>A</w:t>
      </w:r>
      <w:r w:rsidR="0035545B" w:rsidRPr="003502A6">
        <w:rPr>
          <w:szCs w:val="24"/>
        </w:rPr>
        <w:t xml:space="preserve"> </w:t>
      </w:r>
      <w:r w:rsidR="004458FE">
        <w:rPr>
          <w:szCs w:val="24"/>
        </w:rPr>
        <w:t>t</w:t>
      </w:r>
      <w:r w:rsidR="0035545B" w:rsidRPr="003502A6">
        <w:rPr>
          <w:szCs w:val="24"/>
        </w:rPr>
        <w:t>ribe may request that the D</w:t>
      </w:r>
      <w:r w:rsidR="00CF3BFC">
        <w:rPr>
          <w:szCs w:val="24"/>
        </w:rPr>
        <w:t xml:space="preserve">OI </w:t>
      </w:r>
      <w:r w:rsidR="0035545B" w:rsidRPr="003502A6">
        <w:rPr>
          <w:szCs w:val="24"/>
        </w:rPr>
        <w:t>initiate consultation when the</w:t>
      </w:r>
      <w:r w:rsidRPr="003502A6">
        <w:rPr>
          <w:szCs w:val="24"/>
        </w:rPr>
        <w:t xml:space="preserve"> </w:t>
      </w:r>
      <w:r w:rsidR="004458FE">
        <w:rPr>
          <w:szCs w:val="24"/>
        </w:rPr>
        <w:t>t</w:t>
      </w:r>
      <w:r w:rsidR="00B223B4" w:rsidRPr="003502A6">
        <w:rPr>
          <w:szCs w:val="24"/>
        </w:rPr>
        <w:t>ribe believes that a bureau/</w:t>
      </w:r>
      <w:r w:rsidRPr="003502A6">
        <w:rPr>
          <w:szCs w:val="24"/>
        </w:rPr>
        <w:t>o</w:t>
      </w:r>
      <w:r w:rsidR="0035545B" w:rsidRPr="003502A6">
        <w:rPr>
          <w:szCs w:val="24"/>
        </w:rPr>
        <w:t xml:space="preserve">ffice is considering a </w:t>
      </w:r>
      <w:r w:rsidR="004458FE">
        <w:rPr>
          <w:szCs w:val="24"/>
        </w:rPr>
        <w:t>d</w:t>
      </w:r>
      <w:r w:rsidR="0035545B" w:rsidRPr="003502A6">
        <w:rPr>
          <w:szCs w:val="24"/>
        </w:rPr>
        <w:t xml:space="preserve">epartmental </w:t>
      </w:r>
      <w:r w:rsidR="00CE18DC" w:rsidRPr="003502A6">
        <w:rPr>
          <w:szCs w:val="24"/>
        </w:rPr>
        <w:t>a</w:t>
      </w:r>
      <w:r w:rsidR="0035545B" w:rsidRPr="003502A6">
        <w:rPr>
          <w:szCs w:val="24"/>
        </w:rPr>
        <w:t xml:space="preserve">ction with </w:t>
      </w:r>
      <w:r w:rsidR="00CE18DC" w:rsidRPr="003502A6">
        <w:rPr>
          <w:szCs w:val="24"/>
        </w:rPr>
        <w:t>tribal i</w:t>
      </w:r>
      <w:r w:rsidR="0035545B" w:rsidRPr="003502A6">
        <w:rPr>
          <w:szCs w:val="24"/>
        </w:rPr>
        <w:t>mplications.</w:t>
      </w:r>
      <w:r w:rsidR="004458FE">
        <w:rPr>
          <w:szCs w:val="24"/>
        </w:rPr>
        <w:t xml:space="preserve">  </w:t>
      </w:r>
      <w:r w:rsidR="0035545B" w:rsidRPr="003502A6">
        <w:rPr>
          <w:szCs w:val="24"/>
        </w:rPr>
        <w:t xml:space="preserve">  </w:t>
      </w:r>
      <w:r w:rsidR="00276E30">
        <w:rPr>
          <w:szCs w:val="24"/>
        </w:rPr>
        <w:t xml:space="preserve">    </w:t>
      </w:r>
      <w:r w:rsidR="00EA01B7" w:rsidRPr="003502A6">
        <w:rPr>
          <w:szCs w:val="24"/>
        </w:rPr>
        <w:t>The appropriate bureau/office TGO or app</w:t>
      </w:r>
      <w:r w:rsidR="0035545B" w:rsidRPr="003502A6">
        <w:rPr>
          <w:szCs w:val="24"/>
        </w:rPr>
        <w:t xml:space="preserve">ropriate representative will treat an official request for consultation in an expedited fashion and respond in writing that </w:t>
      </w:r>
      <w:r w:rsidR="00CF3BFC">
        <w:rPr>
          <w:szCs w:val="24"/>
        </w:rPr>
        <w:t xml:space="preserve">DOI </w:t>
      </w:r>
      <w:r w:rsidR="0035545B" w:rsidRPr="003502A6">
        <w:rPr>
          <w:szCs w:val="24"/>
        </w:rPr>
        <w:t xml:space="preserve">has received the request, using the most expedient methods to communicate to the </w:t>
      </w:r>
      <w:r w:rsidR="004458FE">
        <w:rPr>
          <w:szCs w:val="24"/>
        </w:rPr>
        <w:t>t</w:t>
      </w:r>
      <w:r w:rsidR="0035545B" w:rsidRPr="003502A6">
        <w:rPr>
          <w:szCs w:val="24"/>
        </w:rPr>
        <w:t>ribe.</w:t>
      </w:r>
    </w:p>
    <w:p w14:paraId="15086CFA" w14:textId="77777777" w:rsidR="003A4EBB" w:rsidRPr="003502A6" w:rsidRDefault="003A4EBB" w:rsidP="003A4EBB">
      <w:pPr>
        <w:contextualSpacing/>
        <w:rPr>
          <w:szCs w:val="24"/>
        </w:rPr>
      </w:pPr>
    </w:p>
    <w:p w14:paraId="7F4971AE" w14:textId="3986C48B" w:rsidR="00EF675A" w:rsidRPr="003502A6" w:rsidRDefault="003A4EBB" w:rsidP="003A4EBB">
      <w:pPr>
        <w:contextualSpacing/>
        <w:rPr>
          <w:szCs w:val="24"/>
        </w:rPr>
      </w:pPr>
      <w:r w:rsidRPr="003502A6">
        <w:rPr>
          <w:szCs w:val="24"/>
        </w:rPr>
        <w:tab/>
        <w:t>B.</w:t>
      </w:r>
      <w:r w:rsidRPr="003502A6">
        <w:rPr>
          <w:szCs w:val="24"/>
        </w:rPr>
        <w:tab/>
      </w:r>
      <w:r w:rsidR="00EF675A" w:rsidRPr="003502A6">
        <w:rPr>
          <w:szCs w:val="24"/>
          <w:u w:val="single"/>
        </w:rPr>
        <w:t>Proposal Development Stage</w:t>
      </w:r>
      <w:r w:rsidRPr="003502A6">
        <w:rPr>
          <w:szCs w:val="24"/>
        </w:rPr>
        <w:t xml:space="preserve">.  </w:t>
      </w:r>
      <w:r w:rsidR="00EF675A" w:rsidRPr="003502A6">
        <w:rPr>
          <w:szCs w:val="24"/>
        </w:rPr>
        <w:t xml:space="preserve">The </w:t>
      </w:r>
      <w:r w:rsidR="008D41E8" w:rsidRPr="003502A6">
        <w:rPr>
          <w:szCs w:val="24"/>
        </w:rPr>
        <w:t>b</w:t>
      </w:r>
      <w:r w:rsidR="00B223B4" w:rsidRPr="003502A6">
        <w:rPr>
          <w:szCs w:val="24"/>
        </w:rPr>
        <w:t>ureau/</w:t>
      </w:r>
      <w:r w:rsidR="008D41E8" w:rsidRPr="003502A6">
        <w:rPr>
          <w:szCs w:val="24"/>
        </w:rPr>
        <w:t>o</w:t>
      </w:r>
      <w:r w:rsidR="00CC7A74" w:rsidRPr="003502A6">
        <w:rPr>
          <w:szCs w:val="24"/>
        </w:rPr>
        <w:t>ffice will</w:t>
      </w:r>
      <w:r w:rsidR="00EF675A" w:rsidRPr="003502A6">
        <w:rPr>
          <w:szCs w:val="24"/>
        </w:rPr>
        <w:t xml:space="preserve"> develop a process for the Proposal Development Stage that maximizes the opportunity for timely input by Indian </w:t>
      </w:r>
      <w:r w:rsidR="004458FE">
        <w:rPr>
          <w:szCs w:val="24"/>
        </w:rPr>
        <w:t>t</w:t>
      </w:r>
      <w:r w:rsidR="00EF675A" w:rsidRPr="003502A6">
        <w:rPr>
          <w:szCs w:val="24"/>
        </w:rPr>
        <w:t xml:space="preserve">ribes and </w:t>
      </w:r>
      <w:r w:rsidRPr="003502A6">
        <w:rPr>
          <w:szCs w:val="24"/>
        </w:rPr>
        <w:t xml:space="preserve">that </w:t>
      </w:r>
      <w:r w:rsidR="00107140" w:rsidRPr="003502A6">
        <w:rPr>
          <w:szCs w:val="24"/>
        </w:rPr>
        <w:t>is consistent with both t</w:t>
      </w:r>
      <w:r w:rsidR="00EF675A" w:rsidRPr="003502A6">
        <w:rPr>
          <w:szCs w:val="24"/>
        </w:rPr>
        <w:t xml:space="preserve">ribal and </w:t>
      </w:r>
      <w:r w:rsidR="008D41E8" w:rsidRPr="003502A6">
        <w:rPr>
          <w:szCs w:val="24"/>
        </w:rPr>
        <w:t>bureau/o</w:t>
      </w:r>
      <w:r w:rsidR="00EF675A" w:rsidRPr="003502A6">
        <w:rPr>
          <w:szCs w:val="24"/>
        </w:rPr>
        <w:t xml:space="preserve">ffice schedules.  Examples of appropriate processes for the </w:t>
      </w:r>
      <w:r w:rsidR="008D41E8" w:rsidRPr="003502A6">
        <w:rPr>
          <w:szCs w:val="24"/>
        </w:rPr>
        <w:t>p</w:t>
      </w:r>
      <w:r w:rsidR="00EF675A" w:rsidRPr="003502A6">
        <w:rPr>
          <w:szCs w:val="24"/>
        </w:rPr>
        <w:t xml:space="preserve">roposal </w:t>
      </w:r>
      <w:r w:rsidR="008D41E8" w:rsidRPr="003502A6">
        <w:rPr>
          <w:szCs w:val="24"/>
        </w:rPr>
        <w:t>development s</w:t>
      </w:r>
      <w:r w:rsidR="00EF675A" w:rsidRPr="003502A6">
        <w:rPr>
          <w:szCs w:val="24"/>
        </w:rPr>
        <w:t xml:space="preserve">tage include, but are not limited to, Negotiated Rulemaking, Tribal Leader Task Force, a Series of Open Tribal Meetings, or Single Meetings.  </w:t>
      </w:r>
    </w:p>
    <w:p w14:paraId="3F9B2FA0" w14:textId="77777777" w:rsidR="0035545B" w:rsidRPr="003502A6" w:rsidRDefault="0035545B" w:rsidP="002A2F4A">
      <w:pPr>
        <w:pStyle w:val="ListParagraph"/>
        <w:rPr>
          <w:szCs w:val="24"/>
        </w:rPr>
      </w:pPr>
    </w:p>
    <w:p w14:paraId="3F7ED9ED" w14:textId="2733360D" w:rsidR="006A6D3E" w:rsidRDefault="00896087" w:rsidP="003A4EBB">
      <w:pPr>
        <w:contextualSpacing/>
        <w:rPr>
          <w:szCs w:val="24"/>
        </w:rPr>
      </w:pPr>
      <w:r w:rsidRPr="003502A6">
        <w:rPr>
          <w:szCs w:val="24"/>
        </w:rPr>
        <w:tab/>
      </w:r>
      <w:r w:rsidR="00651114" w:rsidRPr="003502A6">
        <w:rPr>
          <w:szCs w:val="24"/>
        </w:rPr>
        <w:tab/>
      </w:r>
      <w:r w:rsidRPr="003502A6">
        <w:rPr>
          <w:szCs w:val="24"/>
        </w:rPr>
        <w:t>(1)</w:t>
      </w:r>
      <w:r w:rsidRPr="003502A6">
        <w:rPr>
          <w:szCs w:val="24"/>
        </w:rPr>
        <w:tab/>
      </w:r>
      <w:r w:rsidR="008D41E8" w:rsidRPr="003502A6">
        <w:rPr>
          <w:szCs w:val="24"/>
        </w:rPr>
        <w:t>Bureaus/of</w:t>
      </w:r>
      <w:r w:rsidR="0035545B" w:rsidRPr="003502A6">
        <w:rPr>
          <w:szCs w:val="24"/>
        </w:rPr>
        <w:t>fice</w:t>
      </w:r>
      <w:r w:rsidR="008D41E8" w:rsidRPr="003502A6">
        <w:rPr>
          <w:szCs w:val="24"/>
        </w:rPr>
        <w:t>s</w:t>
      </w:r>
      <w:r w:rsidR="0035545B" w:rsidRPr="003502A6">
        <w:rPr>
          <w:szCs w:val="24"/>
        </w:rPr>
        <w:t xml:space="preserve"> will solicit the views of affected Indian </w:t>
      </w:r>
      <w:r w:rsidR="004458FE">
        <w:rPr>
          <w:szCs w:val="24"/>
        </w:rPr>
        <w:t>t</w:t>
      </w:r>
      <w:r w:rsidR="0035545B" w:rsidRPr="003502A6">
        <w:rPr>
          <w:szCs w:val="24"/>
        </w:rPr>
        <w:t>ribes regarding the pr</w:t>
      </w:r>
      <w:r w:rsidR="002F6DC5">
        <w:rPr>
          <w:szCs w:val="24"/>
        </w:rPr>
        <w:t xml:space="preserve">ocess timeline to consult on a </w:t>
      </w:r>
      <w:r w:rsidR="004458FE">
        <w:rPr>
          <w:szCs w:val="24"/>
        </w:rPr>
        <w:t>d</w:t>
      </w:r>
      <w:r w:rsidR="0035545B" w:rsidRPr="003502A6">
        <w:rPr>
          <w:szCs w:val="24"/>
        </w:rPr>
        <w:t xml:space="preserve">epartmental </w:t>
      </w:r>
      <w:r w:rsidR="00B12C1F" w:rsidRPr="003502A6">
        <w:rPr>
          <w:szCs w:val="24"/>
        </w:rPr>
        <w:t>a</w:t>
      </w:r>
      <w:r w:rsidR="0035545B" w:rsidRPr="003502A6">
        <w:rPr>
          <w:szCs w:val="24"/>
        </w:rPr>
        <w:t xml:space="preserve">ction with </w:t>
      </w:r>
      <w:r w:rsidR="00B12C1F" w:rsidRPr="003502A6">
        <w:rPr>
          <w:szCs w:val="24"/>
        </w:rPr>
        <w:t>tribal i</w:t>
      </w:r>
      <w:r w:rsidR="0035545B" w:rsidRPr="003502A6">
        <w:rPr>
          <w:szCs w:val="24"/>
        </w:rPr>
        <w:t>mplications.  Bureau</w:t>
      </w:r>
      <w:r w:rsidR="008D41E8" w:rsidRPr="003502A6">
        <w:rPr>
          <w:szCs w:val="24"/>
        </w:rPr>
        <w:t>s/o</w:t>
      </w:r>
      <w:r w:rsidR="0035545B" w:rsidRPr="003502A6">
        <w:rPr>
          <w:szCs w:val="24"/>
        </w:rPr>
        <w:t>ffice</w:t>
      </w:r>
      <w:r w:rsidR="008D41E8" w:rsidRPr="003502A6">
        <w:rPr>
          <w:szCs w:val="24"/>
        </w:rPr>
        <w:t>s</w:t>
      </w:r>
      <w:r w:rsidR="0035545B" w:rsidRPr="003502A6">
        <w:rPr>
          <w:szCs w:val="24"/>
        </w:rPr>
        <w:t xml:space="preserve"> should work with Indian </w:t>
      </w:r>
      <w:r w:rsidR="004458FE">
        <w:rPr>
          <w:szCs w:val="24"/>
        </w:rPr>
        <w:t>t</w:t>
      </w:r>
      <w:r w:rsidR="0035545B" w:rsidRPr="003502A6">
        <w:rPr>
          <w:szCs w:val="24"/>
        </w:rPr>
        <w:t>ribes to structure a</w:t>
      </w:r>
      <w:r w:rsidR="001E2E12" w:rsidRPr="003502A6">
        <w:rPr>
          <w:szCs w:val="24"/>
        </w:rPr>
        <w:t xml:space="preserve"> process, to the extent practicable</w:t>
      </w:r>
      <w:r w:rsidR="0035545B" w:rsidRPr="003502A6">
        <w:rPr>
          <w:szCs w:val="24"/>
        </w:rPr>
        <w:t xml:space="preserve">, that considers specific Indian </w:t>
      </w:r>
      <w:r w:rsidR="004458FE">
        <w:rPr>
          <w:szCs w:val="24"/>
        </w:rPr>
        <w:t>t</w:t>
      </w:r>
      <w:r w:rsidR="0035545B" w:rsidRPr="003502A6">
        <w:rPr>
          <w:szCs w:val="24"/>
        </w:rPr>
        <w:t>ribal structures, traditional needs, and schedu</w:t>
      </w:r>
      <w:r w:rsidR="008D41E8" w:rsidRPr="003502A6">
        <w:rPr>
          <w:szCs w:val="24"/>
        </w:rPr>
        <w:t>l</w:t>
      </w:r>
      <w:r w:rsidR="008D41E8">
        <w:rPr>
          <w:szCs w:val="24"/>
        </w:rPr>
        <w:t xml:space="preserve">es of the Indian </w:t>
      </w:r>
      <w:r w:rsidR="004458FE">
        <w:rPr>
          <w:szCs w:val="24"/>
        </w:rPr>
        <w:t>t</w:t>
      </w:r>
      <w:r w:rsidR="008D41E8">
        <w:rPr>
          <w:szCs w:val="24"/>
        </w:rPr>
        <w:t xml:space="preserve">ribes.  </w:t>
      </w:r>
      <w:r w:rsidR="0035545B" w:rsidRPr="00016077">
        <w:rPr>
          <w:szCs w:val="24"/>
        </w:rPr>
        <w:t>Bureau</w:t>
      </w:r>
      <w:r w:rsidR="008D41E8">
        <w:rPr>
          <w:szCs w:val="24"/>
        </w:rPr>
        <w:t>s/o</w:t>
      </w:r>
      <w:r w:rsidR="0035545B" w:rsidRPr="00016077">
        <w:rPr>
          <w:szCs w:val="24"/>
        </w:rPr>
        <w:t>ffice</w:t>
      </w:r>
      <w:r w:rsidR="008D41E8">
        <w:rPr>
          <w:szCs w:val="24"/>
        </w:rPr>
        <w:t>s</w:t>
      </w:r>
      <w:r w:rsidR="0035545B" w:rsidRPr="00016077">
        <w:rPr>
          <w:szCs w:val="24"/>
        </w:rPr>
        <w:t xml:space="preserve"> may proceed with the expectation that interested Indian </w:t>
      </w:r>
      <w:r w:rsidR="004458FE">
        <w:rPr>
          <w:szCs w:val="24"/>
        </w:rPr>
        <w:t>t</w:t>
      </w:r>
      <w:r w:rsidR="0035545B" w:rsidRPr="00016077">
        <w:rPr>
          <w:szCs w:val="24"/>
        </w:rPr>
        <w:t xml:space="preserve">ribes will respond </w:t>
      </w:r>
      <w:r w:rsidR="0035545B" w:rsidRPr="00016077">
        <w:rPr>
          <w:szCs w:val="24"/>
        </w:rPr>
        <w:lastRenderedPageBreak/>
        <w:t>w</w:t>
      </w:r>
      <w:r>
        <w:rPr>
          <w:szCs w:val="24"/>
        </w:rPr>
        <w:t xml:space="preserve">ithin a reasonable time period.  </w:t>
      </w:r>
      <w:r w:rsidR="0035545B" w:rsidRPr="00016077">
        <w:rPr>
          <w:szCs w:val="24"/>
        </w:rPr>
        <w:t xml:space="preserve">If </w:t>
      </w:r>
      <w:r>
        <w:rPr>
          <w:szCs w:val="24"/>
        </w:rPr>
        <w:t>a bureau/o</w:t>
      </w:r>
      <w:r w:rsidR="0035545B" w:rsidRPr="00016077">
        <w:rPr>
          <w:szCs w:val="24"/>
        </w:rPr>
        <w:t xml:space="preserve">ffice initiates consultation with a </w:t>
      </w:r>
      <w:r w:rsidR="004458FE">
        <w:rPr>
          <w:szCs w:val="24"/>
        </w:rPr>
        <w:t>t</w:t>
      </w:r>
      <w:r w:rsidR="0035545B" w:rsidRPr="00016077">
        <w:rPr>
          <w:szCs w:val="24"/>
        </w:rPr>
        <w:t xml:space="preserve">ribe but does not receive a response, the </w:t>
      </w:r>
      <w:r>
        <w:rPr>
          <w:szCs w:val="24"/>
        </w:rPr>
        <w:t>bureau/o</w:t>
      </w:r>
      <w:r w:rsidR="0035545B" w:rsidRPr="00016077">
        <w:rPr>
          <w:szCs w:val="24"/>
        </w:rPr>
        <w:t xml:space="preserve">ffice should make reasonable and periodic efforts to repeat the invitation and, when feasible, should allow an Indian </w:t>
      </w:r>
      <w:r w:rsidR="004458FE">
        <w:rPr>
          <w:szCs w:val="24"/>
        </w:rPr>
        <w:t>t</w:t>
      </w:r>
      <w:r w:rsidR="0035545B" w:rsidRPr="00016077">
        <w:rPr>
          <w:szCs w:val="24"/>
        </w:rPr>
        <w:t>ribe t</w:t>
      </w:r>
      <w:r w:rsidR="003A4EBB">
        <w:rPr>
          <w:szCs w:val="24"/>
        </w:rPr>
        <w:t xml:space="preserve">o join an ongoing consultation.  </w:t>
      </w:r>
      <w:r w:rsidR="0035545B" w:rsidRPr="00016077">
        <w:rPr>
          <w:szCs w:val="24"/>
        </w:rPr>
        <w:t>These efforts of engagement shall be appropriately documented.</w:t>
      </w:r>
    </w:p>
    <w:p w14:paraId="007B39E9" w14:textId="77777777" w:rsidR="0035545B" w:rsidRPr="00016077" w:rsidRDefault="0035545B" w:rsidP="003A4EBB">
      <w:pPr>
        <w:contextualSpacing/>
        <w:rPr>
          <w:szCs w:val="24"/>
        </w:rPr>
      </w:pPr>
      <w:r w:rsidRPr="00016077">
        <w:rPr>
          <w:szCs w:val="24"/>
        </w:rPr>
        <w:t xml:space="preserve">  </w:t>
      </w:r>
    </w:p>
    <w:p w14:paraId="126946D6" w14:textId="68D0B59A" w:rsidR="0035545B" w:rsidRPr="00016077" w:rsidRDefault="00896087" w:rsidP="002A2F4A">
      <w:pPr>
        <w:contextualSpacing/>
        <w:rPr>
          <w:szCs w:val="24"/>
        </w:rPr>
      </w:pPr>
      <w:r>
        <w:rPr>
          <w:szCs w:val="24"/>
        </w:rPr>
        <w:tab/>
      </w:r>
      <w:r w:rsidR="00651114">
        <w:rPr>
          <w:szCs w:val="24"/>
        </w:rPr>
        <w:tab/>
      </w:r>
      <w:r>
        <w:rPr>
          <w:szCs w:val="24"/>
        </w:rPr>
        <w:t>(2)</w:t>
      </w:r>
      <w:r>
        <w:rPr>
          <w:szCs w:val="24"/>
        </w:rPr>
        <w:tab/>
      </w:r>
      <w:r w:rsidR="0035545B" w:rsidRPr="00016077">
        <w:rPr>
          <w:szCs w:val="24"/>
        </w:rPr>
        <w:t>When the matter under consultation involves confidential or cultura</w:t>
      </w:r>
      <w:r>
        <w:rPr>
          <w:szCs w:val="24"/>
        </w:rPr>
        <w:t>lly sensitive information, the bureau/o</w:t>
      </w:r>
      <w:r w:rsidR="0035545B" w:rsidRPr="00016077">
        <w:rPr>
          <w:szCs w:val="24"/>
        </w:rPr>
        <w:t xml:space="preserve">ffice will work with the Indian </w:t>
      </w:r>
      <w:r w:rsidR="004458FE">
        <w:rPr>
          <w:szCs w:val="24"/>
        </w:rPr>
        <w:t>t</w:t>
      </w:r>
      <w:r w:rsidR="0035545B" w:rsidRPr="00016077">
        <w:rPr>
          <w:szCs w:val="24"/>
        </w:rPr>
        <w:t xml:space="preserve">ribe to develop a consultation process that addresses the sensitivity of the information to the extent permitted by Federal law.  If litigation or legal requirements impact a </w:t>
      </w:r>
      <w:r>
        <w:rPr>
          <w:szCs w:val="24"/>
        </w:rPr>
        <w:t>bureau/office</w:t>
      </w:r>
      <w:r w:rsidR="0035545B" w:rsidRPr="00016077">
        <w:rPr>
          <w:szCs w:val="24"/>
        </w:rPr>
        <w:t xml:space="preserve"> schedule for conducting consultation, the </w:t>
      </w:r>
      <w:r>
        <w:rPr>
          <w:szCs w:val="24"/>
        </w:rPr>
        <w:t>bureau/office shall explain the</w:t>
      </w:r>
      <w:r w:rsidR="0035545B" w:rsidRPr="00016077">
        <w:rPr>
          <w:szCs w:val="24"/>
        </w:rPr>
        <w:t xml:space="preserve"> c</w:t>
      </w:r>
      <w:r w:rsidR="003A4EBB">
        <w:rPr>
          <w:szCs w:val="24"/>
        </w:rPr>
        <w:t xml:space="preserve">onstraints to the Indian </w:t>
      </w:r>
      <w:r w:rsidR="004458FE">
        <w:rPr>
          <w:szCs w:val="24"/>
        </w:rPr>
        <w:t>t</w:t>
      </w:r>
      <w:r w:rsidR="003A4EBB">
        <w:rPr>
          <w:szCs w:val="24"/>
        </w:rPr>
        <w:t xml:space="preserve">ribe.  </w:t>
      </w:r>
      <w:r w:rsidR="0035545B" w:rsidRPr="00016077">
        <w:rPr>
          <w:szCs w:val="24"/>
        </w:rPr>
        <w:t xml:space="preserve">If </w:t>
      </w:r>
      <w:r>
        <w:rPr>
          <w:szCs w:val="24"/>
        </w:rPr>
        <w:t xml:space="preserve">a </w:t>
      </w:r>
      <w:r w:rsidR="00651114">
        <w:rPr>
          <w:szCs w:val="24"/>
        </w:rPr>
        <w:t>determination is made</w:t>
      </w:r>
      <w:r w:rsidR="0035545B" w:rsidRPr="00016077">
        <w:rPr>
          <w:szCs w:val="24"/>
        </w:rPr>
        <w:t xml:space="preserve"> that the Administrative Procedure Act or other Federal law or regulation expressly prohibits continued discussion at a </w:t>
      </w:r>
      <w:r w:rsidR="00276E30">
        <w:rPr>
          <w:szCs w:val="24"/>
        </w:rPr>
        <w:t>specified point in the decision</w:t>
      </w:r>
      <w:r w:rsidR="00AB19C2">
        <w:rPr>
          <w:szCs w:val="24"/>
        </w:rPr>
        <w:t xml:space="preserve"> </w:t>
      </w:r>
      <w:r w:rsidR="0035545B" w:rsidRPr="00016077">
        <w:rPr>
          <w:szCs w:val="24"/>
        </w:rPr>
        <w:t xml:space="preserve">making process, the Indian </w:t>
      </w:r>
      <w:r w:rsidR="004458FE">
        <w:rPr>
          <w:szCs w:val="24"/>
        </w:rPr>
        <w:t>t</w:t>
      </w:r>
      <w:r w:rsidR="0035545B" w:rsidRPr="00016077">
        <w:rPr>
          <w:szCs w:val="24"/>
        </w:rPr>
        <w:t xml:space="preserve">ribes </w:t>
      </w:r>
      <w:r w:rsidR="00651114">
        <w:rPr>
          <w:szCs w:val="24"/>
        </w:rPr>
        <w:t xml:space="preserve">should be informed </w:t>
      </w:r>
      <w:r w:rsidR="0035545B" w:rsidRPr="00016077">
        <w:rPr>
          <w:szCs w:val="24"/>
        </w:rPr>
        <w:t>at th</w:t>
      </w:r>
      <w:r w:rsidR="00651114">
        <w:rPr>
          <w:szCs w:val="24"/>
        </w:rPr>
        <w:t>e earliest opportunity in this s</w:t>
      </w:r>
      <w:r w:rsidR="0035545B" w:rsidRPr="00016077">
        <w:rPr>
          <w:szCs w:val="24"/>
        </w:rPr>
        <w:t xml:space="preserve">tage </w:t>
      </w:r>
      <w:r w:rsidR="00651114">
        <w:rPr>
          <w:szCs w:val="24"/>
        </w:rPr>
        <w:t xml:space="preserve">of </w:t>
      </w:r>
      <w:r w:rsidR="0035545B" w:rsidRPr="00016077">
        <w:rPr>
          <w:szCs w:val="24"/>
        </w:rPr>
        <w:t>the process</w:t>
      </w:r>
      <w:r w:rsidR="00016077" w:rsidRPr="00016077">
        <w:rPr>
          <w:szCs w:val="24"/>
        </w:rPr>
        <w:t>.</w:t>
      </w:r>
    </w:p>
    <w:p w14:paraId="6BCF3324" w14:textId="77777777" w:rsidR="00016077" w:rsidRPr="00016077" w:rsidRDefault="00016077" w:rsidP="002A2F4A">
      <w:pPr>
        <w:contextualSpacing/>
        <w:rPr>
          <w:szCs w:val="24"/>
        </w:rPr>
      </w:pPr>
    </w:p>
    <w:p w14:paraId="06E9E8A6" w14:textId="77777777" w:rsidR="003A4EBB" w:rsidRDefault="00896087" w:rsidP="003A4EBB">
      <w:pPr>
        <w:contextualSpacing/>
        <w:rPr>
          <w:szCs w:val="24"/>
        </w:rPr>
      </w:pPr>
      <w:r>
        <w:rPr>
          <w:color w:val="222222"/>
          <w:shd w:val="clear" w:color="auto" w:fill="FFFFFF"/>
        </w:rPr>
        <w:tab/>
      </w:r>
      <w:r w:rsidR="00651114"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(3)</w:t>
      </w:r>
      <w:r>
        <w:rPr>
          <w:color w:val="222222"/>
          <w:shd w:val="clear" w:color="auto" w:fill="FFFFFF"/>
        </w:rPr>
        <w:tab/>
      </w:r>
      <w:r w:rsidR="00651114">
        <w:rPr>
          <w:color w:val="222222"/>
          <w:shd w:val="clear" w:color="auto" w:fill="FFFFFF"/>
        </w:rPr>
        <w:t>Bureaus/o</w:t>
      </w:r>
      <w:r w:rsidR="00016077" w:rsidRPr="00016077">
        <w:rPr>
          <w:color w:val="222222"/>
          <w:shd w:val="clear" w:color="auto" w:fill="FFFFFF"/>
        </w:rPr>
        <w:t>ffices will work with each other and with other Fede</w:t>
      </w:r>
      <w:r w:rsidR="00954E5A">
        <w:rPr>
          <w:color w:val="222222"/>
          <w:shd w:val="clear" w:color="auto" w:fill="FFFFFF"/>
        </w:rPr>
        <w:t>ral agencies, where appropriate,</w:t>
      </w:r>
      <w:r w:rsidR="00016077" w:rsidRPr="00016077">
        <w:rPr>
          <w:color w:val="222222"/>
          <w:shd w:val="clear" w:color="auto" w:fill="FFFFFF"/>
        </w:rPr>
        <w:t xml:space="preserve"> to </w:t>
      </w:r>
      <w:r w:rsidR="00954E5A">
        <w:rPr>
          <w:color w:val="222222"/>
          <w:shd w:val="clear" w:color="auto" w:fill="FFFFFF"/>
        </w:rPr>
        <w:t xml:space="preserve">coordinate </w:t>
      </w:r>
      <w:r w:rsidR="00016077" w:rsidRPr="00016077">
        <w:rPr>
          <w:color w:val="222222"/>
          <w:shd w:val="clear" w:color="auto" w:fill="FFFFFF"/>
        </w:rPr>
        <w:t>consultations.</w:t>
      </w:r>
    </w:p>
    <w:p w14:paraId="568EEE10" w14:textId="77777777" w:rsidR="003A4EBB" w:rsidRDefault="003A4EBB" w:rsidP="003A4EBB">
      <w:pPr>
        <w:contextualSpacing/>
        <w:rPr>
          <w:szCs w:val="24"/>
        </w:rPr>
      </w:pPr>
    </w:p>
    <w:p w14:paraId="444FB9C6" w14:textId="3D9BC875" w:rsidR="003A4EBB" w:rsidRPr="003502A6" w:rsidRDefault="003A4EBB" w:rsidP="003A4EBB">
      <w:pPr>
        <w:contextualSpacing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</w:r>
      <w:r w:rsidR="00EF675A" w:rsidRPr="003502A6">
        <w:rPr>
          <w:szCs w:val="24"/>
          <w:u w:val="single"/>
        </w:rPr>
        <w:t>Implementation of Final Federal Action Stage</w:t>
      </w:r>
      <w:r w:rsidR="00EF675A" w:rsidRPr="003502A6">
        <w:rPr>
          <w:i/>
          <w:szCs w:val="24"/>
        </w:rPr>
        <w:t xml:space="preserve">. </w:t>
      </w:r>
      <w:r w:rsidR="00CC0D30" w:rsidRPr="003502A6">
        <w:rPr>
          <w:i/>
          <w:szCs w:val="24"/>
        </w:rPr>
        <w:t xml:space="preserve"> </w:t>
      </w:r>
      <w:r w:rsidR="00EF675A" w:rsidRPr="003502A6">
        <w:rPr>
          <w:szCs w:val="24"/>
        </w:rPr>
        <w:t>Bureau</w:t>
      </w:r>
      <w:r w:rsidR="00651114" w:rsidRPr="003502A6">
        <w:rPr>
          <w:szCs w:val="24"/>
        </w:rPr>
        <w:t>s/o</w:t>
      </w:r>
      <w:r w:rsidR="00EF675A" w:rsidRPr="003502A6">
        <w:rPr>
          <w:szCs w:val="24"/>
        </w:rPr>
        <w:t>ffice</w:t>
      </w:r>
      <w:r w:rsidR="00651114" w:rsidRPr="003502A6">
        <w:rPr>
          <w:szCs w:val="24"/>
        </w:rPr>
        <w:t>s</w:t>
      </w:r>
      <w:r w:rsidR="00EF675A" w:rsidRPr="003502A6">
        <w:rPr>
          <w:szCs w:val="24"/>
        </w:rPr>
        <w:t xml:space="preserve"> may consider implementing a post-consultation review process that invites </w:t>
      </w:r>
      <w:r w:rsidR="00107140" w:rsidRPr="003502A6">
        <w:rPr>
          <w:szCs w:val="24"/>
        </w:rPr>
        <w:t>t</w:t>
      </w:r>
      <w:r w:rsidR="00EF675A" w:rsidRPr="003502A6">
        <w:rPr>
          <w:szCs w:val="24"/>
        </w:rPr>
        <w:t>ribal feedback or considers the need for training or technical assistance conce</w:t>
      </w:r>
      <w:r w:rsidRPr="003502A6">
        <w:rPr>
          <w:szCs w:val="24"/>
        </w:rPr>
        <w:t xml:space="preserve">rning the final Federal action.  </w:t>
      </w:r>
      <w:r w:rsidR="00EF675A" w:rsidRPr="003502A6">
        <w:rPr>
          <w:szCs w:val="24"/>
        </w:rPr>
        <w:t xml:space="preserve">The post-consultation review process shall not limit </w:t>
      </w:r>
      <w:r w:rsidR="00CF3BFC">
        <w:rPr>
          <w:szCs w:val="24"/>
        </w:rPr>
        <w:t>DOI’s</w:t>
      </w:r>
      <w:r w:rsidR="00EF675A" w:rsidRPr="003502A6">
        <w:rPr>
          <w:szCs w:val="24"/>
        </w:rPr>
        <w:t xml:space="preserve"> deliberative process privilege regarding internal considerations or any other applicable privilege. </w:t>
      </w:r>
    </w:p>
    <w:p w14:paraId="4B65B6FA" w14:textId="77777777" w:rsidR="0048332F" w:rsidRPr="003502A6" w:rsidRDefault="0048332F" w:rsidP="003A4EBB">
      <w:pPr>
        <w:contextualSpacing/>
        <w:rPr>
          <w:szCs w:val="24"/>
        </w:rPr>
      </w:pPr>
    </w:p>
    <w:p w14:paraId="39EF12C7" w14:textId="1F4D5ED8" w:rsidR="0048332F" w:rsidRPr="003502A6" w:rsidRDefault="0048332F" w:rsidP="0048332F">
      <w:pPr>
        <w:contextualSpacing/>
        <w:rPr>
          <w:szCs w:val="24"/>
        </w:rPr>
      </w:pPr>
      <w:r w:rsidRPr="003502A6">
        <w:rPr>
          <w:szCs w:val="24"/>
        </w:rPr>
        <w:tab/>
        <w:t>D.</w:t>
      </w:r>
      <w:r w:rsidRPr="003502A6">
        <w:rPr>
          <w:szCs w:val="24"/>
        </w:rPr>
        <w:tab/>
      </w:r>
      <w:r w:rsidRPr="003502A6">
        <w:rPr>
          <w:szCs w:val="24"/>
          <w:u w:val="single"/>
        </w:rPr>
        <w:t>Consultation Summary Report</w:t>
      </w:r>
      <w:r w:rsidRPr="003502A6">
        <w:rPr>
          <w:szCs w:val="24"/>
        </w:rPr>
        <w:t xml:space="preserve">.  Upon completion </w:t>
      </w:r>
      <w:r w:rsidR="009F0424" w:rsidRPr="003502A6">
        <w:rPr>
          <w:szCs w:val="24"/>
        </w:rPr>
        <w:t>of the consultation, bureaus/</w:t>
      </w:r>
      <w:r w:rsidRPr="003502A6">
        <w:rPr>
          <w:szCs w:val="24"/>
        </w:rPr>
        <w:t xml:space="preserve">offices must prepare a summary of the consultation activities.  </w:t>
      </w:r>
      <w:r w:rsidR="009F0424" w:rsidRPr="003502A6">
        <w:rPr>
          <w:szCs w:val="24"/>
        </w:rPr>
        <w:t>The Form DI-9001</w:t>
      </w:r>
      <w:r w:rsidR="002C62EC" w:rsidRPr="003502A6">
        <w:rPr>
          <w:szCs w:val="24"/>
        </w:rPr>
        <w:t xml:space="preserve"> Consultation Summary Form </w:t>
      </w:r>
      <w:r w:rsidR="009F0424" w:rsidRPr="003502A6">
        <w:rPr>
          <w:szCs w:val="24"/>
        </w:rPr>
        <w:t xml:space="preserve">will be used to </w:t>
      </w:r>
      <w:r w:rsidRPr="003502A6">
        <w:rPr>
          <w:szCs w:val="24"/>
        </w:rPr>
        <w:t>summariz</w:t>
      </w:r>
      <w:r w:rsidR="009F0424" w:rsidRPr="003502A6">
        <w:rPr>
          <w:szCs w:val="24"/>
        </w:rPr>
        <w:t>e</w:t>
      </w:r>
      <w:r w:rsidRPr="003502A6">
        <w:rPr>
          <w:szCs w:val="24"/>
        </w:rPr>
        <w:t xml:space="preserve"> the consultation activities</w:t>
      </w:r>
      <w:r w:rsidR="009F0424" w:rsidRPr="003502A6">
        <w:rPr>
          <w:szCs w:val="24"/>
        </w:rPr>
        <w:t>.</w:t>
      </w:r>
      <w:r w:rsidRPr="003502A6">
        <w:rPr>
          <w:szCs w:val="24"/>
        </w:rPr>
        <w:t xml:space="preserve">  Information from </w:t>
      </w:r>
      <w:r w:rsidR="009F0424" w:rsidRPr="003502A6">
        <w:rPr>
          <w:szCs w:val="24"/>
        </w:rPr>
        <w:t>Form DI-9001</w:t>
      </w:r>
      <w:r w:rsidR="00416AAD" w:rsidRPr="003502A6">
        <w:rPr>
          <w:szCs w:val="24"/>
        </w:rPr>
        <w:t xml:space="preserve">will </w:t>
      </w:r>
      <w:proofErr w:type="gramStart"/>
      <w:r w:rsidRPr="003502A6">
        <w:rPr>
          <w:szCs w:val="24"/>
        </w:rPr>
        <w:t>be</w:t>
      </w:r>
      <w:proofErr w:type="gramEnd"/>
      <w:r w:rsidR="002C62EC" w:rsidRPr="003502A6">
        <w:rPr>
          <w:szCs w:val="24"/>
        </w:rPr>
        <w:t xml:space="preserve"> </w:t>
      </w:r>
      <w:r w:rsidRPr="003502A6">
        <w:rPr>
          <w:szCs w:val="24"/>
        </w:rPr>
        <w:t>us</w:t>
      </w:r>
      <w:r w:rsidR="00DB5A5F" w:rsidRPr="003502A6">
        <w:rPr>
          <w:szCs w:val="24"/>
        </w:rPr>
        <w:t>ed to develop the Annual Report described in 512 DM 4</w:t>
      </w:r>
      <w:r w:rsidR="00416AAD" w:rsidRPr="003502A6">
        <w:rPr>
          <w:szCs w:val="24"/>
        </w:rPr>
        <w:t>.8.</w:t>
      </w:r>
      <w:r w:rsidRPr="003502A6">
        <w:rPr>
          <w:szCs w:val="24"/>
        </w:rPr>
        <w:t xml:space="preserve"> </w:t>
      </w:r>
    </w:p>
    <w:p w14:paraId="4196B23A" w14:textId="77777777" w:rsidR="00D60CA1" w:rsidRPr="003502A6" w:rsidRDefault="00D60CA1" w:rsidP="00CC0D30">
      <w:pPr>
        <w:contextualSpacing/>
        <w:rPr>
          <w:szCs w:val="24"/>
        </w:rPr>
      </w:pPr>
    </w:p>
    <w:p w14:paraId="4D4037FB" w14:textId="690D4462" w:rsidR="007359D4" w:rsidRPr="003502A6" w:rsidRDefault="00A53D9D" w:rsidP="00707402">
      <w:pPr>
        <w:contextualSpacing/>
      </w:pPr>
      <w:r w:rsidRPr="003502A6">
        <w:rPr>
          <w:szCs w:val="24"/>
        </w:rPr>
        <w:t>5.6</w:t>
      </w:r>
      <w:r w:rsidR="006C30F6" w:rsidRPr="003502A6">
        <w:rPr>
          <w:szCs w:val="24"/>
        </w:rPr>
        <w:tab/>
      </w:r>
      <w:r w:rsidR="00707402" w:rsidRPr="003502A6">
        <w:rPr>
          <w:b/>
          <w:szCs w:val="24"/>
        </w:rPr>
        <w:t xml:space="preserve">Consultation with </w:t>
      </w:r>
      <w:r w:rsidR="00CA532F" w:rsidRPr="003502A6">
        <w:rPr>
          <w:b/>
          <w:szCs w:val="24"/>
        </w:rPr>
        <w:t>Alaska Native Corporation Settlement Act</w:t>
      </w:r>
      <w:r w:rsidR="006C30F6" w:rsidRPr="003502A6">
        <w:rPr>
          <w:b/>
          <w:szCs w:val="24"/>
        </w:rPr>
        <w:t xml:space="preserve"> </w:t>
      </w:r>
      <w:r w:rsidR="00EA01B7" w:rsidRPr="003502A6">
        <w:rPr>
          <w:b/>
          <w:szCs w:val="24"/>
        </w:rPr>
        <w:t xml:space="preserve">of 1971 </w:t>
      </w:r>
      <w:r w:rsidR="006C30F6" w:rsidRPr="003502A6">
        <w:rPr>
          <w:b/>
          <w:szCs w:val="24"/>
        </w:rPr>
        <w:t xml:space="preserve">(ANCSA) </w:t>
      </w:r>
      <w:r w:rsidR="00707402" w:rsidRPr="003502A6">
        <w:rPr>
          <w:b/>
          <w:szCs w:val="24"/>
        </w:rPr>
        <w:t>Corporations</w:t>
      </w:r>
      <w:r w:rsidR="00707402" w:rsidRPr="003502A6">
        <w:rPr>
          <w:szCs w:val="24"/>
        </w:rPr>
        <w:t>.</w:t>
      </w:r>
      <w:r w:rsidR="00707402" w:rsidRPr="003502A6">
        <w:rPr>
          <w:b/>
          <w:szCs w:val="24"/>
        </w:rPr>
        <w:t xml:space="preserve">  </w:t>
      </w:r>
      <w:r w:rsidR="00707402" w:rsidRPr="003502A6">
        <w:rPr>
          <w:szCs w:val="24"/>
        </w:rPr>
        <w:t>W</w:t>
      </w:r>
      <w:r w:rsidR="00CA532F" w:rsidRPr="003502A6">
        <w:t xml:space="preserve">hen taking </w:t>
      </w:r>
      <w:r w:rsidR="002F6DC5">
        <w:t>D</w:t>
      </w:r>
      <w:r w:rsidR="00CA532F" w:rsidRPr="003502A6">
        <w:t xml:space="preserve">epartmental </w:t>
      </w:r>
      <w:r w:rsidR="00707402" w:rsidRPr="003502A6">
        <w:t>a</w:t>
      </w:r>
      <w:r w:rsidR="00CA532F" w:rsidRPr="003502A6">
        <w:t xml:space="preserve">ction that has a substantial direct effect on ANCSA Corporations, the Department will initiate consultation with ANCSA Corporations. </w:t>
      </w:r>
      <w:r w:rsidR="00EA01B7" w:rsidRPr="003502A6">
        <w:t xml:space="preserve"> The same consultation procedure </w:t>
      </w:r>
      <w:r w:rsidR="00954E5A" w:rsidRPr="003502A6">
        <w:t xml:space="preserve">described in </w:t>
      </w:r>
      <w:r w:rsidR="00CC7A74" w:rsidRPr="003502A6">
        <w:t>paragraph</w:t>
      </w:r>
      <w:r w:rsidRPr="003502A6">
        <w:t xml:space="preserve"> 5.5</w:t>
      </w:r>
      <w:r w:rsidR="00EA01B7" w:rsidRPr="003502A6">
        <w:t xml:space="preserve"> </w:t>
      </w:r>
      <w:r w:rsidR="00CC7A74" w:rsidRPr="003502A6">
        <w:t xml:space="preserve">above </w:t>
      </w:r>
      <w:r w:rsidR="00EA01B7" w:rsidRPr="003502A6">
        <w:t>shall be followed to engage Alaska Native communities.</w:t>
      </w:r>
    </w:p>
    <w:p w14:paraId="33B07B04" w14:textId="77777777" w:rsidR="00EA01B7" w:rsidRPr="003502A6" w:rsidRDefault="00EA01B7" w:rsidP="00707402">
      <w:pPr>
        <w:contextualSpacing/>
      </w:pPr>
    </w:p>
    <w:p w14:paraId="146C1256" w14:textId="3E3C2CA2" w:rsidR="00CC7A74" w:rsidRPr="003502A6" w:rsidRDefault="00A53D9D" w:rsidP="00CC7A74">
      <w:pPr>
        <w:contextualSpacing/>
      </w:pPr>
      <w:r w:rsidRPr="003502A6">
        <w:t>5.7</w:t>
      </w:r>
      <w:r w:rsidR="008235A1" w:rsidRPr="003502A6">
        <w:tab/>
      </w:r>
      <w:r w:rsidR="002C62EC" w:rsidRPr="003502A6">
        <w:rPr>
          <w:b/>
        </w:rPr>
        <w:t xml:space="preserve">Joint Federal-Tribal </w:t>
      </w:r>
      <w:r w:rsidR="008235A1" w:rsidRPr="003502A6">
        <w:rPr>
          <w:b/>
        </w:rPr>
        <w:t>Consultation Team</w:t>
      </w:r>
      <w:r w:rsidR="00F70B98" w:rsidRPr="003502A6">
        <w:rPr>
          <w:b/>
        </w:rPr>
        <w:t xml:space="preserve"> (Team)</w:t>
      </w:r>
      <w:r w:rsidR="008235A1" w:rsidRPr="003502A6">
        <w:t xml:space="preserve">.  The Secretary </w:t>
      </w:r>
      <w:r w:rsidR="00CC7A74" w:rsidRPr="003502A6">
        <w:t>will</w:t>
      </w:r>
      <w:r w:rsidR="008235A1" w:rsidRPr="003502A6">
        <w:t xml:space="preserve"> appoint six to eight tribal leaders to </w:t>
      </w:r>
      <w:r w:rsidR="00954E5A" w:rsidRPr="003502A6">
        <w:t xml:space="preserve">serve on the Team and </w:t>
      </w:r>
      <w:proofErr w:type="gramStart"/>
      <w:r w:rsidR="004458FE">
        <w:t>advise</w:t>
      </w:r>
      <w:proofErr w:type="gramEnd"/>
      <w:r w:rsidR="008235A1" w:rsidRPr="003502A6">
        <w:t xml:space="preserve"> </w:t>
      </w:r>
      <w:r w:rsidR="004458FE">
        <w:t>d</w:t>
      </w:r>
      <w:r w:rsidR="008235A1" w:rsidRPr="003502A6">
        <w:t>epartmental officials</w:t>
      </w:r>
      <w:r w:rsidR="00F70B98" w:rsidRPr="003502A6">
        <w:t xml:space="preserve"> on </w:t>
      </w:r>
      <w:r w:rsidR="00CC7A74" w:rsidRPr="003502A6">
        <w:t xml:space="preserve">the consultation process.  Each member’s term of </w:t>
      </w:r>
      <w:r w:rsidR="00F70B98" w:rsidRPr="003502A6">
        <w:t xml:space="preserve">appointment </w:t>
      </w:r>
      <w:r w:rsidR="00CC7A74" w:rsidRPr="003502A6">
        <w:t>may</w:t>
      </w:r>
      <w:r w:rsidR="00F70B98" w:rsidRPr="003502A6">
        <w:t xml:space="preserve"> </w:t>
      </w:r>
      <w:r w:rsidR="00CF3BFC">
        <w:t xml:space="preserve">not exceed 2 </w:t>
      </w:r>
      <w:r w:rsidR="007D12FE">
        <w:t xml:space="preserve">years, and each member must be the duly elected tribal leader for the duration of the term appointment, or cede the position at the expiration of the tribal leadership position.  </w:t>
      </w:r>
    </w:p>
    <w:p w14:paraId="11082478" w14:textId="77777777" w:rsidR="00CC7A74" w:rsidRPr="003502A6" w:rsidRDefault="00CC7A74" w:rsidP="00CC7A74">
      <w:pPr>
        <w:contextualSpacing/>
      </w:pPr>
    </w:p>
    <w:p w14:paraId="006BBE0E" w14:textId="29D3C890" w:rsidR="00CC7A74" w:rsidRDefault="00CC7A74" w:rsidP="00CC7A74">
      <w:pPr>
        <w:contextualSpacing/>
      </w:pPr>
      <w:r w:rsidRPr="003502A6">
        <w:tab/>
        <w:t>A.</w:t>
      </w:r>
      <w:r w:rsidRPr="003502A6">
        <w:tab/>
      </w:r>
      <w:r w:rsidR="00CF3BFC">
        <w:t xml:space="preserve">The </w:t>
      </w:r>
      <w:r w:rsidRPr="003502A6">
        <w:t>DOI</w:t>
      </w:r>
      <w:r w:rsidR="00F70B98" w:rsidRPr="003502A6">
        <w:t xml:space="preserve"> officials should engage members of </w:t>
      </w:r>
      <w:r w:rsidRPr="003502A6">
        <w:t>the</w:t>
      </w:r>
      <w:r w:rsidR="00F70B98" w:rsidRPr="003502A6">
        <w:t xml:space="preserve"> team to determine what constitutes </w:t>
      </w:r>
      <w:r w:rsidR="008235A1" w:rsidRPr="003502A6">
        <w:t xml:space="preserve">meaningful consultation </w:t>
      </w:r>
      <w:r w:rsidR="00F70B98" w:rsidRPr="003502A6">
        <w:t xml:space="preserve">to the </w:t>
      </w:r>
      <w:r w:rsidRPr="003502A6">
        <w:t>Department’s</w:t>
      </w:r>
      <w:r w:rsidR="00276E30">
        <w:t xml:space="preserve"> decision</w:t>
      </w:r>
      <w:r w:rsidR="00AB19C2">
        <w:t xml:space="preserve"> </w:t>
      </w:r>
      <w:bookmarkStart w:id="0" w:name="_GoBack"/>
      <w:bookmarkEnd w:id="0"/>
      <w:r w:rsidR="00F70B98" w:rsidRPr="003502A6">
        <w:t xml:space="preserve">making process.  </w:t>
      </w:r>
      <w:r w:rsidR="002C62EC" w:rsidRPr="003502A6">
        <w:t xml:space="preserve">The </w:t>
      </w:r>
      <w:r w:rsidRPr="003502A6">
        <w:t>DOI</w:t>
      </w:r>
      <w:r w:rsidR="00F70B98" w:rsidRPr="003502A6">
        <w:t xml:space="preserve"> officials will also </w:t>
      </w:r>
      <w:r w:rsidR="00954E5A" w:rsidRPr="003502A6">
        <w:t xml:space="preserve">coordinate with the </w:t>
      </w:r>
      <w:r w:rsidR="00F70B98" w:rsidRPr="003502A6">
        <w:t xml:space="preserve">team </w:t>
      </w:r>
      <w:r w:rsidR="00954E5A" w:rsidRPr="003502A6">
        <w:t xml:space="preserve">and </w:t>
      </w:r>
      <w:r w:rsidR="00F70B98" w:rsidRPr="003502A6">
        <w:t xml:space="preserve">discuss implementation of </w:t>
      </w:r>
      <w:r w:rsidR="008235A1" w:rsidRPr="003502A6">
        <w:t xml:space="preserve">best practices </w:t>
      </w:r>
      <w:r w:rsidR="00F70B98" w:rsidRPr="003502A6">
        <w:t>and</w:t>
      </w:r>
      <w:r w:rsidR="008235A1" w:rsidRPr="003502A6">
        <w:t xml:space="preserve"> lessons learned during the c</w:t>
      </w:r>
      <w:r w:rsidR="003070DA">
        <w:t xml:space="preserve">onsultation process for future </w:t>
      </w:r>
      <w:r w:rsidR="004458FE">
        <w:t>d</w:t>
      </w:r>
      <w:r w:rsidR="008235A1" w:rsidRPr="003502A6">
        <w:t>epartmental action.</w:t>
      </w:r>
      <w:r w:rsidR="008235A1">
        <w:t xml:space="preserve">  </w:t>
      </w:r>
      <w:r w:rsidR="00CA5A51">
        <w:br/>
      </w:r>
    </w:p>
    <w:p w14:paraId="4066C3E0" w14:textId="40415CFD" w:rsidR="00F70B98" w:rsidRPr="003502A6" w:rsidRDefault="00CC7A74" w:rsidP="00CC7A74">
      <w:pPr>
        <w:contextualSpacing/>
      </w:pPr>
      <w:r>
        <w:tab/>
        <w:t>B.</w:t>
      </w:r>
      <w:r>
        <w:tab/>
      </w:r>
      <w:r w:rsidRPr="003502A6">
        <w:t>The</w:t>
      </w:r>
      <w:r w:rsidR="00F70B98" w:rsidRPr="003502A6">
        <w:t xml:space="preserve"> Team shall meet </w:t>
      </w:r>
      <w:r w:rsidR="0081382E" w:rsidRPr="003502A6">
        <w:t>regularly</w:t>
      </w:r>
      <w:r w:rsidR="00FC7943" w:rsidRPr="003502A6">
        <w:t xml:space="preserve"> </w:t>
      </w:r>
      <w:r w:rsidRPr="003502A6">
        <w:t xml:space="preserve">to </w:t>
      </w:r>
      <w:r w:rsidR="002300A9" w:rsidRPr="003502A6">
        <w:t xml:space="preserve">discuss the most recent quarter’s </w:t>
      </w:r>
      <w:r w:rsidR="004458FE">
        <w:t>DOI</w:t>
      </w:r>
      <w:r w:rsidR="002300A9" w:rsidRPr="003502A6">
        <w:t xml:space="preserve"> </w:t>
      </w:r>
      <w:r w:rsidR="002300A9" w:rsidRPr="003502A6">
        <w:lastRenderedPageBreak/>
        <w:t xml:space="preserve">consultation sessions with Indian </w:t>
      </w:r>
      <w:r w:rsidR="004458FE">
        <w:t>t</w:t>
      </w:r>
      <w:r w:rsidR="002300A9" w:rsidRPr="003502A6">
        <w:t>ribes to i</w:t>
      </w:r>
      <w:r w:rsidR="00E7413A" w:rsidRPr="003502A6">
        <w:t xml:space="preserve">dentify </w:t>
      </w:r>
      <w:r w:rsidR="002300A9" w:rsidRPr="003502A6">
        <w:t>areas where consultation with engaged tribal stak</w:t>
      </w:r>
      <w:r w:rsidR="002F6DC5">
        <w:t xml:space="preserve">eholders impacted </w:t>
      </w:r>
      <w:r w:rsidR="004458FE">
        <w:t>d</w:t>
      </w:r>
      <w:r w:rsidR="002300A9" w:rsidRPr="003502A6">
        <w:t>epartmental action.</w:t>
      </w:r>
    </w:p>
    <w:p w14:paraId="41754955" w14:textId="77777777" w:rsidR="00552229" w:rsidRPr="003502A6" w:rsidRDefault="00552229" w:rsidP="00CC7A74">
      <w:pPr>
        <w:contextualSpacing/>
      </w:pPr>
    </w:p>
    <w:p w14:paraId="4B8B28D4" w14:textId="77777777" w:rsidR="00552229" w:rsidRDefault="00552229" w:rsidP="00CC7A74">
      <w:pPr>
        <w:contextualSpacing/>
      </w:pPr>
      <w:r w:rsidRPr="003502A6">
        <w:tab/>
        <w:t>C.</w:t>
      </w:r>
      <w:r w:rsidRPr="003502A6">
        <w:tab/>
        <w:t>Tribal Team members will be elected officers of tribal governments (or their designated employees with authority to act on their behalf)</w:t>
      </w:r>
      <w:r w:rsidR="00F0351C" w:rsidRPr="003502A6">
        <w:t xml:space="preserve"> acting in their official capacities in order to comply with the exception of the Federal Advisory Committee Act (5 U.S.C. App.) contained in the Unfunded Mandates Reform Act (Pub. L.</w:t>
      </w:r>
      <w:r w:rsidRPr="003502A6">
        <w:t xml:space="preserve"> </w:t>
      </w:r>
      <w:r w:rsidR="00F0351C" w:rsidRPr="003502A6">
        <w:t>104-4).</w:t>
      </w:r>
      <w:r>
        <w:t xml:space="preserve">                                                                                                                                                 </w:t>
      </w:r>
    </w:p>
    <w:p w14:paraId="34AA3CE2" w14:textId="77777777" w:rsidR="002300A9" w:rsidRDefault="002300A9" w:rsidP="002300A9"/>
    <w:sectPr w:rsidR="002300A9" w:rsidSect="00957E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7D0C8" w14:textId="77777777" w:rsidR="00251E72" w:rsidRDefault="00251E72" w:rsidP="00155274">
      <w:r>
        <w:separator/>
      </w:r>
    </w:p>
  </w:endnote>
  <w:endnote w:type="continuationSeparator" w:id="0">
    <w:p w14:paraId="5A8D57C3" w14:textId="77777777" w:rsidR="00251E72" w:rsidRDefault="00251E72" w:rsidP="00155274">
      <w:r>
        <w:continuationSeparator/>
      </w:r>
    </w:p>
  </w:endnote>
  <w:endnote w:type="continuationNotice" w:id="1">
    <w:p w14:paraId="127547B7" w14:textId="77777777" w:rsidR="00251E72" w:rsidRDefault="00251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E6217" w14:textId="77777777" w:rsidR="003A1717" w:rsidRDefault="003A1717">
    <w:pPr>
      <w:framePr w:w="9360" w:h="280" w:hRule="exact" w:wrap="notBeside" w:vAnchor="page" w:hAnchor="text" w:y="14400"/>
      <w:tabs>
        <w:tab w:val="left" w:pos="-1080"/>
        <w:tab w:val="left" w:pos="-720"/>
        <w:tab w:val="left" w:pos="0"/>
        <w:tab w:val="left" w:pos="720"/>
        <w:tab w:val="left" w:pos="9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rPr>
        <w:color w:val="000000"/>
      </w:rPr>
      <w:pgNum/>
    </w:r>
  </w:p>
  <w:p w14:paraId="2BB5F123" w14:textId="77777777" w:rsidR="003A1717" w:rsidRDefault="003A1717">
    <w:pPr>
      <w:tabs>
        <w:tab w:val="left" w:pos="-1080"/>
        <w:tab w:val="left" w:pos="-720"/>
        <w:tab w:val="left" w:pos="0"/>
        <w:tab w:val="left" w:pos="720"/>
        <w:tab w:val="left" w:pos="9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F982C" w14:textId="77777777" w:rsidR="003A1717" w:rsidRDefault="003A1717">
    <w:pPr>
      <w:framePr w:w="9360" w:h="280" w:hRule="exact" w:wrap="notBeside" w:vAnchor="page" w:hAnchor="text" w:y="14400"/>
      <w:tabs>
        <w:tab w:val="left" w:pos="-1080"/>
        <w:tab w:val="left" w:pos="-720"/>
        <w:tab w:val="left" w:pos="0"/>
        <w:tab w:val="left" w:pos="720"/>
        <w:tab w:val="left" w:pos="9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vanish/>
      </w:rPr>
    </w:pPr>
  </w:p>
  <w:p w14:paraId="414D8841" w14:textId="37DC7652" w:rsidR="003A1717" w:rsidRDefault="0059406B">
    <w:pPr>
      <w:tabs>
        <w:tab w:val="left" w:pos="-1080"/>
        <w:tab w:val="left" w:pos="-720"/>
        <w:tab w:val="left" w:pos="0"/>
        <w:tab w:val="left" w:pos="720"/>
        <w:tab w:val="left" w:pos="9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  <w:r>
      <w:t xml:space="preserve">12/02/14 </w:t>
    </w:r>
    <w:r w:rsidR="00957E58">
      <w:t>#3994</w:t>
    </w:r>
  </w:p>
  <w:p w14:paraId="53213AD4" w14:textId="2F01593D" w:rsidR="00957E58" w:rsidRDefault="00957E58">
    <w:pPr>
      <w:tabs>
        <w:tab w:val="left" w:pos="-1080"/>
        <w:tab w:val="left" w:pos="-720"/>
        <w:tab w:val="left" w:pos="0"/>
        <w:tab w:val="left" w:pos="720"/>
        <w:tab w:val="left" w:pos="9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  <w:r>
      <w:t>New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E7A92" w14:textId="77777777" w:rsidR="0059406B" w:rsidRDefault="00594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1E346" w14:textId="77777777" w:rsidR="00251E72" w:rsidRDefault="00251E72" w:rsidP="00155274">
      <w:r>
        <w:separator/>
      </w:r>
    </w:p>
  </w:footnote>
  <w:footnote w:type="continuationSeparator" w:id="0">
    <w:p w14:paraId="113470C6" w14:textId="77777777" w:rsidR="00251E72" w:rsidRDefault="00251E72" w:rsidP="00155274">
      <w:r>
        <w:continuationSeparator/>
      </w:r>
    </w:p>
  </w:footnote>
  <w:footnote w:type="continuationNotice" w:id="1">
    <w:p w14:paraId="0EB000DA" w14:textId="77777777" w:rsidR="00251E72" w:rsidRDefault="00251E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0317E" w14:textId="77777777" w:rsidR="003A1717" w:rsidRDefault="003A1717">
    <w:pPr>
      <w:tabs>
        <w:tab w:val="left" w:pos="-1080"/>
        <w:tab w:val="left" w:pos="-720"/>
        <w:tab w:val="left" w:pos="0"/>
        <w:tab w:val="left" w:pos="720"/>
        <w:tab w:val="left" w:pos="9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8108B" w14:textId="77777777" w:rsidR="003A1717" w:rsidRDefault="008857F9" w:rsidP="001E5F77">
    <w:pPr>
      <w:jc w:val="right"/>
      <w:rPr>
        <w:szCs w:val="24"/>
      </w:rPr>
    </w:pPr>
    <w:r>
      <w:rPr>
        <w:szCs w:val="24"/>
      </w:rPr>
      <w:t>512 DM 5</w:t>
    </w:r>
  </w:p>
  <w:p w14:paraId="5C0F6D7A" w14:textId="77777777" w:rsidR="003A1717" w:rsidRPr="00707402" w:rsidRDefault="00707402" w:rsidP="001E5F77">
    <w:pPr>
      <w:jc w:val="right"/>
      <w:rPr>
        <w:szCs w:val="24"/>
      </w:rPr>
    </w:pPr>
    <w:r w:rsidRPr="00707402">
      <w:rPr>
        <w:szCs w:val="24"/>
      </w:rPr>
      <w:t xml:space="preserve">Page </w:t>
    </w:r>
    <w:r w:rsidRPr="00707402">
      <w:rPr>
        <w:szCs w:val="24"/>
      </w:rPr>
      <w:fldChar w:fldCharType="begin"/>
    </w:r>
    <w:r w:rsidRPr="00707402">
      <w:rPr>
        <w:szCs w:val="24"/>
      </w:rPr>
      <w:instrText xml:space="preserve"> PAGE  \* Arabic  \* MERGEFORMAT </w:instrText>
    </w:r>
    <w:r w:rsidRPr="00707402">
      <w:rPr>
        <w:szCs w:val="24"/>
      </w:rPr>
      <w:fldChar w:fldCharType="separate"/>
    </w:r>
    <w:r w:rsidR="00AB19C2">
      <w:rPr>
        <w:noProof/>
        <w:szCs w:val="24"/>
      </w:rPr>
      <w:t>4</w:t>
    </w:r>
    <w:r w:rsidRPr="00707402">
      <w:rPr>
        <w:szCs w:val="24"/>
      </w:rPr>
      <w:fldChar w:fldCharType="end"/>
    </w:r>
    <w:r w:rsidRPr="00707402">
      <w:rPr>
        <w:szCs w:val="24"/>
      </w:rPr>
      <w:t xml:space="preserve"> of </w:t>
    </w:r>
    <w:r w:rsidRPr="00707402">
      <w:rPr>
        <w:szCs w:val="24"/>
      </w:rPr>
      <w:fldChar w:fldCharType="begin"/>
    </w:r>
    <w:r w:rsidRPr="00707402">
      <w:rPr>
        <w:szCs w:val="24"/>
      </w:rPr>
      <w:instrText xml:space="preserve"> NUMPAGES  \* Arabic  \* MERGEFORMAT </w:instrText>
    </w:r>
    <w:r w:rsidRPr="00707402">
      <w:rPr>
        <w:szCs w:val="24"/>
      </w:rPr>
      <w:fldChar w:fldCharType="separate"/>
    </w:r>
    <w:r w:rsidR="00AB19C2">
      <w:rPr>
        <w:noProof/>
        <w:szCs w:val="24"/>
      </w:rPr>
      <w:t>4</w:t>
    </w:r>
    <w:r w:rsidRPr="00707402">
      <w:rPr>
        <w:szCs w:val="24"/>
      </w:rPr>
      <w:fldChar w:fldCharType="end"/>
    </w:r>
  </w:p>
  <w:p w14:paraId="56E7CF04" w14:textId="77777777" w:rsidR="003A1717" w:rsidRDefault="003A1717">
    <w:pPr>
      <w:tabs>
        <w:tab w:val="left" w:pos="-1080"/>
        <w:tab w:val="left" w:pos="-720"/>
        <w:tab w:val="left" w:pos="0"/>
        <w:tab w:val="left" w:pos="720"/>
        <w:tab w:val="left" w:pos="9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E713C" w14:textId="77777777" w:rsidR="0059406B" w:rsidRDefault="005940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02D"/>
    <w:multiLevelType w:val="hybridMultilevel"/>
    <w:tmpl w:val="2D1AC58C"/>
    <w:lvl w:ilvl="0" w:tplc="16840CA6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121E"/>
    <w:multiLevelType w:val="hybridMultilevel"/>
    <w:tmpl w:val="F14C9A56"/>
    <w:lvl w:ilvl="0" w:tplc="08FAA1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FE75D7"/>
    <w:multiLevelType w:val="hybridMultilevel"/>
    <w:tmpl w:val="99D04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D436C"/>
    <w:multiLevelType w:val="multilevel"/>
    <w:tmpl w:val="9FFE54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EDE576F"/>
    <w:multiLevelType w:val="hybridMultilevel"/>
    <w:tmpl w:val="35D46350"/>
    <w:lvl w:ilvl="0" w:tplc="5C520ED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0691D29"/>
    <w:multiLevelType w:val="hybridMultilevel"/>
    <w:tmpl w:val="DF2675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2A19"/>
    <w:multiLevelType w:val="hybridMultilevel"/>
    <w:tmpl w:val="D57A4FCC"/>
    <w:lvl w:ilvl="0" w:tplc="D90E86C6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0456BC"/>
    <w:multiLevelType w:val="hybridMultilevel"/>
    <w:tmpl w:val="36F841AC"/>
    <w:lvl w:ilvl="0" w:tplc="F6C8FD82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BB178B"/>
    <w:multiLevelType w:val="multilevel"/>
    <w:tmpl w:val="EE245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4B46F0D"/>
    <w:multiLevelType w:val="hybridMultilevel"/>
    <w:tmpl w:val="FE5499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B56E2"/>
    <w:multiLevelType w:val="hybridMultilevel"/>
    <w:tmpl w:val="76FC24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FE3BB5"/>
    <w:multiLevelType w:val="hybridMultilevel"/>
    <w:tmpl w:val="35D46350"/>
    <w:lvl w:ilvl="0" w:tplc="5C520ED4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0EF3958"/>
    <w:multiLevelType w:val="hybridMultilevel"/>
    <w:tmpl w:val="B4FA5B82"/>
    <w:lvl w:ilvl="0" w:tplc="0540B062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21D75D7"/>
    <w:multiLevelType w:val="hybridMultilevel"/>
    <w:tmpl w:val="909AF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65256"/>
    <w:multiLevelType w:val="hybridMultilevel"/>
    <w:tmpl w:val="9A7AB5B2"/>
    <w:lvl w:ilvl="0" w:tplc="83165D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464C9E"/>
    <w:multiLevelType w:val="multilevel"/>
    <w:tmpl w:val="1AFCB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46B56FE"/>
    <w:multiLevelType w:val="multilevel"/>
    <w:tmpl w:val="2820B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7">
    <w:nsid w:val="57B573A6"/>
    <w:multiLevelType w:val="hybridMultilevel"/>
    <w:tmpl w:val="DD8A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50BE6"/>
    <w:multiLevelType w:val="hybridMultilevel"/>
    <w:tmpl w:val="1310AF10"/>
    <w:lvl w:ilvl="0" w:tplc="A9C476F0">
      <w:start w:val="1"/>
      <w:numFmt w:val="decimal"/>
      <w:lvlText w:val="(%1)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5DC928C9"/>
    <w:multiLevelType w:val="hybridMultilevel"/>
    <w:tmpl w:val="3AE8467C"/>
    <w:lvl w:ilvl="0" w:tplc="FC3C28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457103"/>
    <w:multiLevelType w:val="hybridMultilevel"/>
    <w:tmpl w:val="D57A4FCC"/>
    <w:lvl w:ilvl="0" w:tplc="D90E86C6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C13184"/>
    <w:multiLevelType w:val="hybridMultilevel"/>
    <w:tmpl w:val="B4FA5B82"/>
    <w:lvl w:ilvl="0" w:tplc="0540B062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76A61539"/>
    <w:multiLevelType w:val="hybridMultilevel"/>
    <w:tmpl w:val="5E9E4C1C"/>
    <w:lvl w:ilvl="0" w:tplc="52EA4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5050CB"/>
    <w:multiLevelType w:val="hybridMultilevel"/>
    <w:tmpl w:val="5AA61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8"/>
  </w:num>
  <w:num w:numId="5">
    <w:abstractNumId w:val="17"/>
  </w:num>
  <w:num w:numId="6">
    <w:abstractNumId w:val="2"/>
  </w:num>
  <w:num w:numId="7">
    <w:abstractNumId w:val="12"/>
  </w:num>
  <w:num w:numId="8">
    <w:abstractNumId w:val="23"/>
  </w:num>
  <w:num w:numId="9">
    <w:abstractNumId w:val="16"/>
  </w:num>
  <w:num w:numId="10">
    <w:abstractNumId w:val="13"/>
  </w:num>
  <w:num w:numId="11">
    <w:abstractNumId w:val="0"/>
  </w:num>
  <w:num w:numId="12">
    <w:abstractNumId w:val="4"/>
  </w:num>
  <w:num w:numId="13">
    <w:abstractNumId w:val="11"/>
  </w:num>
  <w:num w:numId="14">
    <w:abstractNumId w:val="20"/>
  </w:num>
  <w:num w:numId="15">
    <w:abstractNumId w:val="3"/>
  </w:num>
  <w:num w:numId="16">
    <w:abstractNumId w:val="9"/>
  </w:num>
  <w:num w:numId="17">
    <w:abstractNumId w:val="15"/>
  </w:num>
  <w:num w:numId="18">
    <w:abstractNumId w:val="8"/>
  </w:num>
  <w:num w:numId="19">
    <w:abstractNumId w:val="22"/>
  </w:num>
  <w:num w:numId="20">
    <w:abstractNumId w:val="21"/>
  </w:num>
  <w:num w:numId="21">
    <w:abstractNumId w:val="19"/>
  </w:num>
  <w:num w:numId="22">
    <w:abstractNumId w:val="10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1C"/>
    <w:rsid w:val="00001C8E"/>
    <w:rsid w:val="00016077"/>
    <w:rsid w:val="00090034"/>
    <w:rsid w:val="000D04D2"/>
    <w:rsid w:val="000E2DA7"/>
    <w:rsid w:val="00107140"/>
    <w:rsid w:val="00113EE6"/>
    <w:rsid w:val="0013555D"/>
    <w:rsid w:val="00155274"/>
    <w:rsid w:val="001D3B86"/>
    <w:rsid w:val="001D5130"/>
    <w:rsid w:val="001E2E12"/>
    <w:rsid w:val="001E5F77"/>
    <w:rsid w:val="001F1D8E"/>
    <w:rsid w:val="001F700F"/>
    <w:rsid w:val="00227471"/>
    <w:rsid w:val="002300A9"/>
    <w:rsid w:val="0023515F"/>
    <w:rsid w:val="002513BB"/>
    <w:rsid w:val="00251E72"/>
    <w:rsid w:val="00266DD8"/>
    <w:rsid w:val="0026701B"/>
    <w:rsid w:val="00276E30"/>
    <w:rsid w:val="00291890"/>
    <w:rsid w:val="002A2F4A"/>
    <w:rsid w:val="002B5FF0"/>
    <w:rsid w:val="002C62EC"/>
    <w:rsid w:val="002F6DC5"/>
    <w:rsid w:val="003070DA"/>
    <w:rsid w:val="00325159"/>
    <w:rsid w:val="00345426"/>
    <w:rsid w:val="003502A6"/>
    <w:rsid w:val="0035545B"/>
    <w:rsid w:val="00374D62"/>
    <w:rsid w:val="003A1717"/>
    <w:rsid w:val="003A4EBB"/>
    <w:rsid w:val="003B09D2"/>
    <w:rsid w:val="003D6C51"/>
    <w:rsid w:val="00416AAD"/>
    <w:rsid w:val="00420616"/>
    <w:rsid w:val="004458FE"/>
    <w:rsid w:val="00466CD9"/>
    <w:rsid w:val="004677B2"/>
    <w:rsid w:val="0048332F"/>
    <w:rsid w:val="0049237A"/>
    <w:rsid w:val="004F0C4A"/>
    <w:rsid w:val="00500CD3"/>
    <w:rsid w:val="00506F3B"/>
    <w:rsid w:val="005201E2"/>
    <w:rsid w:val="00524222"/>
    <w:rsid w:val="00552229"/>
    <w:rsid w:val="00567C01"/>
    <w:rsid w:val="005713F8"/>
    <w:rsid w:val="005823EC"/>
    <w:rsid w:val="0059406B"/>
    <w:rsid w:val="005F353D"/>
    <w:rsid w:val="00634463"/>
    <w:rsid w:val="00634AF7"/>
    <w:rsid w:val="00651114"/>
    <w:rsid w:val="00666958"/>
    <w:rsid w:val="006753CF"/>
    <w:rsid w:val="006829FD"/>
    <w:rsid w:val="006866CC"/>
    <w:rsid w:val="006A64CB"/>
    <w:rsid w:val="006A6D3E"/>
    <w:rsid w:val="006C30F6"/>
    <w:rsid w:val="006F06F1"/>
    <w:rsid w:val="00707402"/>
    <w:rsid w:val="00710519"/>
    <w:rsid w:val="007272BD"/>
    <w:rsid w:val="007359D4"/>
    <w:rsid w:val="00736FF7"/>
    <w:rsid w:val="00775451"/>
    <w:rsid w:val="007B3D7D"/>
    <w:rsid w:val="007D12FE"/>
    <w:rsid w:val="0081382E"/>
    <w:rsid w:val="008235A1"/>
    <w:rsid w:val="00831D20"/>
    <w:rsid w:val="008330C7"/>
    <w:rsid w:val="00861C2E"/>
    <w:rsid w:val="00866130"/>
    <w:rsid w:val="00875EA7"/>
    <w:rsid w:val="008857F9"/>
    <w:rsid w:val="00895876"/>
    <w:rsid w:val="00896087"/>
    <w:rsid w:val="008B681C"/>
    <w:rsid w:val="008D41E8"/>
    <w:rsid w:val="008E0910"/>
    <w:rsid w:val="008F5C68"/>
    <w:rsid w:val="00954E5A"/>
    <w:rsid w:val="00957E58"/>
    <w:rsid w:val="00963556"/>
    <w:rsid w:val="0097282F"/>
    <w:rsid w:val="009E2009"/>
    <w:rsid w:val="009F0424"/>
    <w:rsid w:val="009F763E"/>
    <w:rsid w:val="00A14A89"/>
    <w:rsid w:val="00A15080"/>
    <w:rsid w:val="00A347A0"/>
    <w:rsid w:val="00A452F0"/>
    <w:rsid w:val="00A532E3"/>
    <w:rsid w:val="00A53D9D"/>
    <w:rsid w:val="00A64C52"/>
    <w:rsid w:val="00A7715B"/>
    <w:rsid w:val="00A80F2E"/>
    <w:rsid w:val="00A81A07"/>
    <w:rsid w:val="00A917A4"/>
    <w:rsid w:val="00AB19C2"/>
    <w:rsid w:val="00AB43A6"/>
    <w:rsid w:val="00AB72CF"/>
    <w:rsid w:val="00AD13D1"/>
    <w:rsid w:val="00B12C1F"/>
    <w:rsid w:val="00B205C8"/>
    <w:rsid w:val="00B223B4"/>
    <w:rsid w:val="00B374AB"/>
    <w:rsid w:val="00B67646"/>
    <w:rsid w:val="00B7756A"/>
    <w:rsid w:val="00BA0070"/>
    <w:rsid w:val="00BD0097"/>
    <w:rsid w:val="00C031E3"/>
    <w:rsid w:val="00C3312B"/>
    <w:rsid w:val="00C33838"/>
    <w:rsid w:val="00C40F64"/>
    <w:rsid w:val="00C4376C"/>
    <w:rsid w:val="00C81F12"/>
    <w:rsid w:val="00C934A7"/>
    <w:rsid w:val="00C9707B"/>
    <w:rsid w:val="00C9747A"/>
    <w:rsid w:val="00CA532F"/>
    <w:rsid w:val="00CA5A51"/>
    <w:rsid w:val="00CB116B"/>
    <w:rsid w:val="00CC0D30"/>
    <w:rsid w:val="00CC7A74"/>
    <w:rsid w:val="00CE18DC"/>
    <w:rsid w:val="00CF08A4"/>
    <w:rsid w:val="00CF3BFC"/>
    <w:rsid w:val="00D10DF1"/>
    <w:rsid w:val="00D60CA1"/>
    <w:rsid w:val="00D6171B"/>
    <w:rsid w:val="00D8468D"/>
    <w:rsid w:val="00D960AF"/>
    <w:rsid w:val="00DA563E"/>
    <w:rsid w:val="00DA7177"/>
    <w:rsid w:val="00DB5A5F"/>
    <w:rsid w:val="00DE3CF4"/>
    <w:rsid w:val="00DF1B2F"/>
    <w:rsid w:val="00E341C0"/>
    <w:rsid w:val="00E5056A"/>
    <w:rsid w:val="00E56FEA"/>
    <w:rsid w:val="00E65B06"/>
    <w:rsid w:val="00E7413A"/>
    <w:rsid w:val="00E77FB9"/>
    <w:rsid w:val="00E81CD3"/>
    <w:rsid w:val="00E94007"/>
    <w:rsid w:val="00EA01B7"/>
    <w:rsid w:val="00EC518B"/>
    <w:rsid w:val="00EF675A"/>
    <w:rsid w:val="00F00125"/>
    <w:rsid w:val="00F0351C"/>
    <w:rsid w:val="00F46D11"/>
    <w:rsid w:val="00F70B98"/>
    <w:rsid w:val="00F93F8F"/>
    <w:rsid w:val="00FA245F"/>
    <w:rsid w:val="00FB2D10"/>
    <w:rsid w:val="00FC7943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81C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155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27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5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274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59D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59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59D4"/>
    <w:rPr>
      <w:vertAlign w:val="superscript"/>
    </w:rPr>
  </w:style>
  <w:style w:type="paragraph" w:customStyle="1" w:styleId="Default">
    <w:name w:val="Default"/>
    <w:rsid w:val="00735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lo-LA"/>
    </w:rPr>
  </w:style>
  <w:style w:type="paragraph" w:styleId="NoSpacing">
    <w:name w:val="No Spacing"/>
    <w:uiPriority w:val="1"/>
    <w:qFormat/>
    <w:rsid w:val="00866130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81C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155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27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5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274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59D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59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59D4"/>
    <w:rPr>
      <w:vertAlign w:val="superscript"/>
    </w:rPr>
  </w:style>
  <w:style w:type="paragraph" w:customStyle="1" w:styleId="Default">
    <w:name w:val="Default"/>
    <w:rsid w:val="00735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lo-LA"/>
    </w:rPr>
  </w:style>
  <w:style w:type="paragraph" w:styleId="NoSpacing">
    <w:name w:val="No Spacing"/>
    <w:uiPriority w:val="1"/>
    <w:qFormat/>
    <w:rsid w:val="0086613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0F67-3E8A-48C6-A156-D2EF2A11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Sisk, Jennifer R</dc:creator>
  <cp:lastModifiedBy>Diprofio, Nicholas P</cp:lastModifiedBy>
  <cp:revision>6</cp:revision>
  <cp:lastPrinted>2014-11-13T14:24:00Z</cp:lastPrinted>
  <dcterms:created xsi:type="dcterms:W3CDTF">2014-11-13T14:48:00Z</dcterms:created>
  <dcterms:modified xsi:type="dcterms:W3CDTF">2014-12-22T17:06:00Z</dcterms:modified>
</cp:coreProperties>
</file>