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6F6BE" w14:textId="77707997" w:rsidR="00820D28" w:rsidRDefault="00820D28" w:rsidP="00820D28">
      <w:pPr>
        <w:spacing w:after="0" w:line="480" w:lineRule="auto"/>
        <w:jc w:val="center"/>
        <w:rPr>
          <w:rFonts w:ascii="Times New Roman" w:hAnsi="Times New Roman" w:cs="Times New Roman"/>
        </w:rPr>
      </w:pPr>
      <w:r>
        <w:rPr>
          <w:rFonts w:ascii="Times New Roman" w:hAnsi="Times New Roman" w:cs="Times New Roman"/>
        </w:rPr>
        <w:t>Statement by the U.S. Geological Survey</w:t>
      </w:r>
    </w:p>
    <w:p w14:paraId="16B6246B" w14:textId="0120AE3B" w:rsidR="00820D28" w:rsidRDefault="00820D28" w:rsidP="00820D28">
      <w:pPr>
        <w:spacing w:after="0" w:line="480" w:lineRule="auto"/>
        <w:jc w:val="center"/>
        <w:rPr>
          <w:rFonts w:ascii="Times New Roman" w:hAnsi="Times New Roman" w:cs="Times New Roman"/>
        </w:rPr>
      </w:pPr>
      <w:r>
        <w:rPr>
          <w:rFonts w:ascii="Times New Roman" w:hAnsi="Times New Roman" w:cs="Times New Roman"/>
        </w:rPr>
        <w:t xml:space="preserve">Oversight Hearing on the Importance of Domestically Sourced Raw Materials </w:t>
      </w:r>
      <w:r>
        <w:rPr>
          <w:rFonts w:ascii="Times New Roman" w:hAnsi="Times New Roman" w:cs="Times New Roman"/>
        </w:rPr>
        <w:br/>
        <w:t>for Infrastructure Projects</w:t>
      </w:r>
    </w:p>
    <w:p w14:paraId="0093096B" w14:textId="77777777" w:rsidR="00820D28" w:rsidRDefault="00820D28" w:rsidP="00820D28">
      <w:pPr>
        <w:spacing w:after="0" w:line="480" w:lineRule="auto"/>
        <w:jc w:val="center"/>
        <w:rPr>
          <w:rFonts w:ascii="Times New Roman" w:hAnsi="Times New Roman" w:cs="Times New Roman"/>
        </w:rPr>
      </w:pPr>
      <w:proofErr w:type="gramStart"/>
      <w:r>
        <w:rPr>
          <w:rFonts w:ascii="Times New Roman" w:hAnsi="Times New Roman" w:cs="Times New Roman"/>
        </w:rPr>
        <w:t>before</w:t>
      </w:r>
      <w:proofErr w:type="gramEnd"/>
      <w:r>
        <w:rPr>
          <w:rFonts w:ascii="Times New Roman" w:hAnsi="Times New Roman" w:cs="Times New Roman"/>
        </w:rPr>
        <w:t xml:space="preserve"> the House Committee on Natural Resources</w:t>
      </w:r>
    </w:p>
    <w:p w14:paraId="23DCF5BC" w14:textId="77777777" w:rsidR="00820D28" w:rsidRDefault="00820D28" w:rsidP="00820D28">
      <w:pPr>
        <w:spacing w:after="0" w:line="480" w:lineRule="auto"/>
        <w:jc w:val="center"/>
        <w:rPr>
          <w:rFonts w:ascii="Times New Roman" w:hAnsi="Times New Roman" w:cs="Times New Roman"/>
        </w:rPr>
      </w:pPr>
      <w:r>
        <w:rPr>
          <w:rFonts w:ascii="Times New Roman" w:hAnsi="Times New Roman" w:cs="Times New Roman"/>
        </w:rPr>
        <w:t>Subcommittee on Energy and Mineral Resources</w:t>
      </w:r>
    </w:p>
    <w:p w14:paraId="282723BE" w14:textId="529DF7CB" w:rsidR="00820D28" w:rsidRDefault="00820D28" w:rsidP="00820D28">
      <w:pPr>
        <w:spacing w:after="0" w:line="480" w:lineRule="auto"/>
        <w:jc w:val="center"/>
        <w:rPr>
          <w:rFonts w:ascii="Times New Roman" w:hAnsi="Times New Roman" w:cs="Times New Roman"/>
        </w:rPr>
      </w:pPr>
      <w:r>
        <w:rPr>
          <w:rFonts w:ascii="Times New Roman" w:hAnsi="Times New Roman" w:cs="Times New Roman"/>
        </w:rPr>
        <w:t>March 21, 2017</w:t>
      </w:r>
    </w:p>
    <w:p w14:paraId="1A8934E5" w14:textId="77777777" w:rsidR="00820D28" w:rsidRDefault="00820D28" w:rsidP="00890946">
      <w:pPr>
        <w:spacing w:after="0"/>
        <w:rPr>
          <w:rFonts w:ascii="Times New Roman" w:hAnsi="Times New Roman" w:cs="Times New Roman"/>
        </w:rPr>
      </w:pPr>
    </w:p>
    <w:p w14:paraId="69F63C32" w14:textId="6E3205E3" w:rsidR="00890946" w:rsidRPr="00D0297B" w:rsidRDefault="0027691E" w:rsidP="00D0297B">
      <w:pPr>
        <w:spacing w:after="0"/>
        <w:rPr>
          <w:rFonts w:ascii="Times New Roman" w:hAnsi="Times New Roman" w:cs="Times New Roman"/>
          <w:color w:val="000000"/>
        </w:rPr>
      </w:pPr>
      <w:r w:rsidRPr="00D0297B">
        <w:rPr>
          <w:rFonts w:ascii="Times New Roman" w:hAnsi="Times New Roman" w:cs="Times New Roman"/>
        </w:rPr>
        <w:t>The</w:t>
      </w:r>
      <w:r w:rsidR="003B3CA6" w:rsidRPr="00D0297B">
        <w:rPr>
          <w:rFonts w:ascii="Times New Roman" w:hAnsi="Times New Roman" w:cs="Times New Roman"/>
        </w:rPr>
        <w:t xml:space="preserve"> U.S. Geological Survey</w:t>
      </w:r>
      <w:r w:rsidR="001353CB" w:rsidRPr="00D0297B">
        <w:rPr>
          <w:rFonts w:ascii="Times New Roman" w:hAnsi="Times New Roman" w:cs="Times New Roman"/>
        </w:rPr>
        <w:t xml:space="preserve"> (USGS)</w:t>
      </w:r>
      <w:r w:rsidR="003B3CA6" w:rsidRPr="00D0297B">
        <w:rPr>
          <w:rFonts w:ascii="Times New Roman" w:hAnsi="Times New Roman" w:cs="Times New Roman"/>
        </w:rPr>
        <w:t xml:space="preserve"> </w:t>
      </w:r>
      <w:r w:rsidR="007C31A1" w:rsidRPr="00D0297B">
        <w:rPr>
          <w:rFonts w:ascii="Times New Roman" w:hAnsi="Times New Roman" w:cs="Times New Roman"/>
        </w:rPr>
        <w:t xml:space="preserve">would like to thank the Chairman and members of the subcommittee for the opportunity to discuss USGS activities to support the Nation’s understanding of domestically sourced raw materials.  USGS </w:t>
      </w:r>
      <w:r w:rsidR="000A3D9E" w:rsidRPr="00D0297B">
        <w:rPr>
          <w:rFonts w:ascii="Times New Roman" w:hAnsi="Times New Roman" w:cs="Times New Roman"/>
        </w:rPr>
        <w:t xml:space="preserve">has a variety of products relevant to the availability </w:t>
      </w:r>
      <w:r w:rsidR="00820D28" w:rsidRPr="00D0297B">
        <w:rPr>
          <w:rFonts w:ascii="Times New Roman" w:hAnsi="Times New Roman" w:cs="Times New Roman"/>
        </w:rPr>
        <w:t>of minerals</w:t>
      </w:r>
      <w:r w:rsidRPr="00D0297B">
        <w:rPr>
          <w:rFonts w:ascii="Times New Roman" w:hAnsi="Times New Roman" w:cs="Times New Roman"/>
        </w:rPr>
        <w:t xml:space="preserve"> materials</w:t>
      </w:r>
      <w:r w:rsidR="000A3D9E" w:rsidRPr="00D0297B">
        <w:rPr>
          <w:rFonts w:ascii="Times New Roman" w:hAnsi="Times New Roman" w:cs="Times New Roman"/>
        </w:rPr>
        <w:t xml:space="preserve"> used in </w:t>
      </w:r>
      <w:r w:rsidR="00890946" w:rsidRPr="00D0297B">
        <w:rPr>
          <w:rFonts w:ascii="Times New Roman" w:hAnsi="Times New Roman" w:cs="Times New Roman"/>
        </w:rPr>
        <w:t>infrastructure</w:t>
      </w:r>
      <w:r w:rsidR="001353CB" w:rsidRPr="00D0297B">
        <w:rPr>
          <w:rFonts w:ascii="Times New Roman" w:hAnsi="Times New Roman" w:cs="Times New Roman"/>
        </w:rPr>
        <w:t xml:space="preserve">. </w:t>
      </w:r>
      <w:r w:rsidRPr="00D0297B">
        <w:rPr>
          <w:rFonts w:ascii="Times New Roman" w:hAnsi="Times New Roman" w:cs="Times New Roman"/>
        </w:rPr>
        <w:t xml:space="preserve"> </w:t>
      </w:r>
      <w:r w:rsidR="005C0E89" w:rsidRPr="00D0297B">
        <w:rPr>
          <w:rFonts w:ascii="Times New Roman" w:hAnsi="Times New Roman" w:cs="Times New Roman"/>
        </w:rPr>
        <w:t xml:space="preserve">For one, USGS publishes the </w:t>
      </w:r>
      <w:r w:rsidR="000A3D9E" w:rsidRPr="00D0297B">
        <w:rPr>
          <w:rFonts w:ascii="Times New Roman" w:hAnsi="Times New Roman" w:cs="Times New Roman"/>
          <w:i/>
        </w:rPr>
        <w:t>Mineral Commodity Summaries</w:t>
      </w:r>
      <w:r w:rsidR="000A3D9E" w:rsidRPr="00D0297B">
        <w:rPr>
          <w:rFonts w:ascii="Times New Roman" w:hAnsi="Times New Roman" w:cs="Times New Roman"/>
        </w:rPr>
        <w:t xml:space="preserve"> </w:t>
      </w:r>
      <w:r w:rsidR="005C0E89" w:rsidRPr="00D0297B">
        <w:rPr>
          <w:rFonts w:ascii="Times New Roman" w:hAnsi="Times New Roman" w:cs="Times New Roman"/>
        </w:rPr>
        <w:t xml:space="preserve">on an annual basis, which serves as </w:t>
      </w:r>
      <w:r w:rsidR="000A3D9E" w:rsidRPr="00D0297B">
        <w:rPr>
          <w:rFonts w:ascii="Times New Roman" w:hAnsi="Times New Roman" w:cs="Times New Roman"/>
        </w:rPr>
        <w:t>the most complete Federal repository of</w:t>
      </w:r>
      <w:r w:rsidR="001C1060" w:rsidRPr="00D0297B">
        <w:rPr>
          <w:rFonts w:ascii="Times New Roman" w:hAnsi="Times New Roman" w:cs="Times New Roman"/>
        </w:rPr>
        <w:t xml:space="preserve"> </w:t>
      </w:r>
      <w:r w:rsidR="00221F3F" w:rsidRPr="00D0297B">
        <w:rPr>
          <w:rFonts w:ascii="Times New Roman" w:hAnsi="Times New Roman" w:cs="Times New Roman"/>
        </w:rPr>
        <w:t xml:space="preserve">information about </w:t>
      </w:r>
      <w:r w:rsidR="003B3CA6" w:rsidRPr="00D0297B">
        <w:rPr>
          <w:rFonts w:ascii="Times New Roman" w:hAnsi="Times New Roman" w:cs="Times New Roman"/>
        </w:rPr>
        <w:t>nonfuel minerals mined in the United States</w:t>
      </w:r>
      <w:r w:rsidR="005C0E89" w:rsidRPr="00D0297B">
        <w:rPr>
          <w:rFonts w:ascii="Times New Roman" w:hAnsi="Times New Roman" w:cs="Times New Roman"/>
        </w:rPr>
        <w:t>, and addresses events, trends, and issues in the domestic and international minerals industries</w:t>
      </w:r>
      <w:r w:rsidR="000A3D9E" w:rsidRPr="00D0297B">
        <w:rPr>
          <w:rFonts w:ascii="Times New Roman" w:hAnsi="Times New Roman" w:cs="Times New Roman"/>
        </w:rPr>
        <w:t xml:space="preserve">.  </w:t>
      </w:r>
      <w:r w:rsidR="005C0E89" w:rsidRPr="00D0297B">
        <w:rPr>
          <w:rFonts w:ascii="Times New Roman" w:hAnsi="Times New Roman" w:cs="Times New Roman"/>
        </w:rPr>
        <w:t xml:space="preserve">In addition, the </w:t>
      </w:r>
      <w:r w:rsidR="000A3D9E" w:rsidRPr="00D0297B">
        <w:rPr>
          <w:rFonts w:ascii="Times New Roman" w:hAnsi="Times New Roman" w:cs="Times New Roman"/>
        </w:rPr>
        <w:t xml:space="preserve">USGS also leads production of a variety of geologic and topographic maps which are essential for building projects and sourcing of materials.  </w:t>
      </w:r>
      <w:r w:rsidR="007D642B" w:rsidRPr="00D0297B">
        <w:rPr>
          <w:rFonts w:ascii="Times New Roman" w:hAnsi="Times New Roman" w:cs="Times New Roman"/>
        </w:rPr>
        <w:t>This testimony will discuss many of the basic raw materials which go into our infrastructure network</w:t>
      </w:r>
      <w:r w:rsidR="0018128F" w:rsidRPr="00D0297B">
        <w:rPr>
          <w:rFonts w:ascii="Times New Roman" w:hAnsi="Times New Roman" w:cs="Times New Roman"/>
        </w:rPr>
        <w:t xml:space="preserve">, </w:t>
      </w:r>
      <w:r w:rsidR="00D47925">
        <w:rPr>
          <w:rFonts w:ascii="Times New Roman" w:hAnsi="Times New Roman" w:cs="Times New Roman"/>
        </w:rPr>
        <w:t xml:space="preserve">our </w:t>
      </w:r>
      <w:r w:rsidR="00890946" w:rsidRPr="00D0297B">
        <w:rPr>
          <w:rFonts w:ascii="Times New Roman" w:hAnsi="Times New Roman" w:cs="Times New Roman"/>
          <w:color w:val="000000"/>
        </w:rPr>
        <w:t>topographic and geological mapping and</w:t>
      </w:r>
      <w:r w:rsidR="00D76C80" w:rsidRPr="00D0297B">
        <w:rPr>
          <w:rFonts w:ascii="Times New Roman" w:hAnsi="Times New Roman" w:cs="Times New Roman"/>
          <w:color w:val="000000"/>
        </w:rPr>
        <w:t xml:space="preserve"> specific examples of the consequences of the lack of geologic data.</w:t>
      </w:r>
    </w:p>
    <w:p w14:paraId="2C12C545" w14:textId="77777777" w:rsidR="005C0E89" w:rsidRPr="00D0297B" w:rsidRDefault="005C0E89" w:rsidP="00D0297B">
      <w:pPr>
        <w:spacing w:after="0" w:line="240" w:lineRule="exact"/>
        <w:rPr>
          <w:rFonts w:ascii="Times New Roman" w:hAnsi="Times New Roman" w:cs="Times New Roman"/>
        </w:rPr>
      </w:pPr>
    </w:p>
    <w:p w14:paraId="7788C6A5" w14:textId="5539A9DE" w:rsidR="00CE58A5" w:rsidRPr="00D0297B" w:rsidRDefault="00CE58A5" w:rsidP="00D0297B">
      <w:pPr>
        <w:spacing w:after="0" w:line="240" w:lineRule="exact"/>
        <w:rPr>
          <w:rFonts w:ascii="Times New Roman" w:hAnsi="Times New Roman" w:cs="Times New Roman"/>
          <w:b/>
        </w:rPr>
      </w:pPr>
      <w:r w:rsidRPr="00D0297B">
        <w:rPr>
          <w:rFonts w:ascii="Times New Roman" w:hAnsi="Times New Roman" w:cs="Times New Roman"/>
          <w:b/>
        </w:rPr>
        <w:t>Natural Materials Data</w:t>
      </w:r>
    </w:p>
    <w:p w14:paraId="79095EDE" w14:textId="77777777" w:rsidR="00D47925" w:rsidRDefault="00D47925" w:rsidP="00D0297B">
      <w:pPr>
        <w:spacing w:after="0" w:line="240" w:lineRule="exact"/>
        <w:rPr>
          <w:rFonts w:ascii="Times New Roman" w:hAnsi="Times New Roman" w:cs="Times New Roman"/>
        </w:rPr>
      </w:pPr>
    </w:p>
    <w:p w14:paraId="6989BAE5" w14:textId="3E79BE38" w:rsidR="00B1241A" w:rsidRPr="00D0297B" w:rsidRDefault="001C1060" w:rsidP="00D0297B">
      <w:pPr>
        <w:spacing w:after="0" w:line="240" w:lineRule="exact"/>
        <w:rPr>
          <w:rFonts w:ascii="Times New Roman" w:hAnsi="Times New Roman" w:cs="Times New Roman"/>
        </w:rPr>
      </w:pPr>
      <w:r w:rsidRPr="00D0297B">
        <w:rPr>
          <w:rFonts w:ascii="Times New Roman" w:hAnsi="Times New Roman" w:cs="Times New Roman"/>
        </w:rPr>
        <w:t xml:space="preserve">The </w:t>
      </w:r>
      <w:r w:rsidR="007C31A1" w:rsidRPr="00D0297B">
        <w:rPr>
          <w:rFonts w:ascii="Times New Roman" w:hAnsi="Times New Roman" w:cs="Times New Roman"/>
        </w:rPr>
        <w:t>construction</w:t>
      </w:r>
      <w:r w:rsidRPr="00D0297B">
        <w:rPr>
          <w:rFonts w:ascii="Times New Roman" w:hAnsi="Times New Roman" w:cs="Times New Roman"/>
        </w:rPr>
        <w:t xml:space="preserve"> of buildings, dams, roads, and bridges requires na</w:t>
      </w:r>
      <w:r w:rsidR="00CE58A5" w:rsidRPr="00D0297B">
        <w:rPr>
          <w:rFonts w:ascii="Times New Roman" w:hAnsi="Times New Roman" w:cs="Times New Roman"/>
        </w:rPr>
        <w:t>tural materials, primarily sand and</w:t>
      </w:r>
      <w:r w:rsidRPr="00D0297B">
        <w:rPr>
          <w:rFonts w:ascii="Times New Roman" w:hAnsi="Times New Roman" w:cs="Times New Roman"/>
        </w:rPr>
        <w:t xml:space="preserve"> gravel</w:t>
      </w:r>
      <w:r w:rsidR="00CE58A5" w:rsidRPr="00D0297B">
        <w:rPr>
          <w:rFonts w:ascii="Times New Roman" w:hAnsi="Times New Roman" w:cs="Times New Roman"/>
        </w:rPr>
        <w:t xml:space="preserve">, crushed stone, cement, and iron and steel (Table 1). </w:t>
      </w:r>
      <w:r w:rsidR="003444BE" w:rsidRPr="00D0297B">
        <w:rPr>
          <w:rFonts w:ascii="Times New Roman" w:hAnsi="Times New Roman" w:cs="Times New Roman"/>
        </w:rPr>
        <w:t xml:space="preserve"> </w:t>
      </w:r>
      <w:r w:rsidR="00E76E21">
        <w:rPr>
          <w:rFonts w:ascii="Times New Roman" w:hAnsi="Times New Roman" w:cs="Times New Roman"/>
        </w:rPr>
        <w:t>Natural aggregates include s</w:t>
      </w:r>
      <w:r w:rsidR="00E76E21" w:rsidRPr="00D0297B">
        <w:rPr>
          <w:rFonts w:ascii="Times New Roman" w:hAnsi="Times New Roman" w:cs="Times New Roman"/>
        </w:rPr>
        <w:t>and</w:t>
      </w:r>
      <w:r w:rsidR="00CE58A5" w:rsidRPr="00D0297B">
        <w:rPr>
          <w:rFonts w:ascii="Times New Roman" w:hAnsi="Times New Roman" w:cs="Times New Roman"/>
        </w:rPr>
        <w:t>, gravel, and crushed stone</w:t>
      </w:r>
      <w:r w:rsidR="00E76E21">
        <w:rPr>
          <w:rFonts w:ascii="Times New Roman" w:hAnsi="Times New Roman" w:cs="Times New Roman"/>
        </w:rPr>
        <w:t>.  Aggregates</w:t>
      </w:r>
      <w:r w:rsidR="00BF32EE" w:rsidRPr="00D0297B">
        <w:rPr>
          <w:rFonts w:ascii="Times New Roman" w:hAnsi="Times New Roman" w:cs="Times New Roman"/>
        </w:rPr>
        <w:t xml:space="preserve"> </w:t>
      </w:r>
      <w:r w:rsidR="00B065C7" w:rsidRPr="00D0297B">
        <w:rPr>
          <w:rFonts w:ascii="Times New Roman" w:hAnsi="Times New Roman" w:cs="Times New Roman"/>
        </w:rPr>
        <w:t xml:space="preserve">are </w:t>
      </w:r>
      <w:r w:rsidR="00BF32EE" w:rsidRPr="00D0297B">
        <w:rPr>
          <w:rFonts w:ascii="Times New Roman" w:hAnsi="Times New Roman" w:cs="Times New Roman"/>
        </w:rPr>
        <w:t xml:space="preserve">used in their natural state or after processing by crushing, washing, </w:t>
      </w:r>
      <w:r w:rsidR="00221F3F" w:rsidRPr="00D0297B">
        <w:rPr>
          <w:rFonts w:ascii="Times New Roman" w:hAnsi="Times New Roman" w:cs="Times New Roman"/>
        </w:rPr>
        <w:t xml:space="preserve">and </w:t>
      </w:r>
      <w:r w:rsidR="00BF32EE" w:rsidRPr="00D0297B">
        <w:rPr>
          <w:rFonts w:ascii="Times New Roman" w:hAnsi="Times New Roman" w:cs="Times New Roman"/>
        </w:rPr>
        <w:t xml:space="preserve">sizing. </w:t>
      </w:r>
      <w:r w:rsidR="004D579B" w:rsidRPr="00D0297B">
        <w:rPr>
          <w:rFonts w:ascii="Times New Roman" w:hAnsi="Times New Roman" w:cs="Times New Roman"/>
        </w:rPr>
        <w:t xml:space="preserve"> </w:t>
      </w:r>
      <w:r w:rsidR="00070970" w:rsidRPr="00D0297B">
        <w:rPr>
          <w:rFonts w:ascii="Times New Roman" w:hAnsi="Times New Roman" w:cs="Times New Roman"/>
        </w:rPr>
        <w:t>They</w:t>
      </w:r>
      <w:r w:rsidR="00BF32EE" w:rsidRPr="00D0297B">
        <w:rPr>
          <w:rFonts w:ascii="Times New Roman" w:hAnsi="Times New Roman" w:cs="Times New Roman"/>
        </w:rPr>
        <w:t xml:space="preserve"> accounted for 87 percent, by weight, of nonfuel mineral materials produced in the United States in 2016. </w:t>
      </w:r>
      <w:r w:rsidR="004D579B" w:rsidRPr="00D0297B">
        <w:rPr>
          <w:rFonts w:ascii="Times New Roman" w:hAnsi="Times New Roman" w:cs="Times New Roman"/>
        </w:rPr>
        <w:t xml:space="preserve"> </w:t>
      </w:r>
      <w:r w:rsidR="00B1241A" w:rsidRPr="00D0297B">
        <w:rPr>
          <w:rFonts w:ascii="Times New Roman" w:hAnsi="Times New Roman" w:cs="Times New Roman"/>
        </w:rPr>
        <w:t xml:space="preserve">The estimated annual output of aggregates produced in the United States in 2016 was 2.3 billion metric tons. </w:t>
      </w:r>
    </w:p>
    <w:p w14:paraId="43226F58" w14:textId="77777777" w:rsidR="00D0297B" w:rsidRDefault="00D0297B" w:rsidP="00D0297B">
      <w:pPr>
        <w:spacing w:after="0" w:line="240" w:lineRule="exact"/>
        <w:rPr>
          <w:rFonts w:ascii="Times New Roman" w:hAnsi="Times New Roman" w:cs="Times New Roman"/>
        </w:rPr>
      </w:pPr>
    </w:p>
    <w:p w14:paraId="15EC2AEB" w14:textId="488DC008" w:rsidR="00BF32EE" w:rsidRDefault="00070970" w:rsidP="00D0297B">
      <w:pPr>
        <w:spacing w:after="0" w:line="240" w:lineRule="exact"/>
        <w:rPr>
          <w:rFonts w:ascii="Times New Roman" w:hAnsi="Times New Roman" w:cs="Times New Roman"/>
          <w:vertAlign w:val="superscript"/>
        </w:rPr>
      </w:pPr>
      <w:r>
        <w:rPr>
          <w:rFonts w:ascii="Times New Roman" w:hAnsi="Times New Roman" w:cs="Times New Roman"/>
        </w:rPr>
        <w:t>Natural a</w:t>
      </w:r>
      <w:r w:rsidR="00BF32EE" w:rsidRPr="00563FA9">
        <w:rPr>
          <w:rFonts w:ascii="Times New Roman" w:hAnsi="Times New Roman" w:cs="Times New Roman"/>
        </w:rPr>
        <w:t xml:space="preserve">ggregates are high-volume, low-value commodities, which are produced in every State. </w:t>
      </w:r>
      <w:r w:rsidR="004D579B">
        <w:rPr>
          <w:rFonts w:ascii="Times New Roman" w:hAnsi="Times New Roman" w:cs="Times New Roman"/>
        </w:rPr>
        <w:t xml:space="preserve"> </w:t>
      </w:r>
      <w:r w:rsidR="00BF32EE" w:rsidRPr="00563FA9">
        <w:rPr>
          <w:rFonts w:ascii="Times New Roman" w:hAnsi="Times New Roman" w:cs="Times New Roman"/>
        </w:rPr>
        <w:t xml:space="preserve">The </w:t>
      </w:r>
      <w:r w:rsidR="00B065C7">
        <w:rPr>
          <w:rFonts w:ascii="Times New Roman" w:hAnsi="Times New Roman" w:cs="Times New Roman"/>
        </w:rPr>
        <w:t xml:space="preserve">aggregate </w:t>
      </w:r>
      <w:r w:rsidR="00BF32EE" w:rsidRPr="00563FA9">
        <w:rPr>
          <w:rFonts w:ascii="Times New Roman" w:hAnsi="Times New Roman" w:cs="Times New Roman"/>
        </w:rPr>
        <w:t xml:space="preserve">industry is highly competitive and is characterized by thousands of operations serving local or regional markets. </w:t>
      </w:r>
      <w:r w:rsidR="004D579B">
        <w:rPr>
          <w:rFonts w:ascii="Times New Roman" w:hAnsi="Times New Roman" w:cs="Times New Roman"/>
        </w:rPr>
        <w:t xml:space="preserve"> </w:t>
      </w:r>
      <w:r w:rsidR="00BF32EE" w:rsidRPr="00563FA9">
        <w:rPr>
          <w:rFonts w:ascii="Times New Roman" w:hAnsi="Times New Roman" w:cs="Times New Roman"/>
        </w:rPr>
        <w:t xml:space="preserve">Production costs vary widely depending on geographic location, the nature of the deposit, and the number and type of products produced. </w:t>
      </w:r>
      <w:r w:rsidR="004D579B">
        <w:rPr>
          <w:rFonts w:ascii="Times New Roman" w:hAnsi="Times New Roman" w:cs="Times New Roman"/>
        </w:rPr>
        <w:t xml:space="preserve"> </w:t>
      </w:r>
      <w:r w:rsidR="00BF32EE" w:rsidRPr="00563FA9">
        <w:rPr>
          <w:rFonts w:ascii="Times New Roman" w:hAnsi="Times New Roman" w:cs="Times New Roman"/>
        </w:rPr>
        <w:t xml:space="preserve">Transportation is a major factor in the delivered price. </w:t>
      </w:r>
      <w:r w:rsidR="004D579B">
        <w:rPr>
          <w:rFonts w:ascii="Times New Roman" w:hAnsi="Times New Roman" w:cs="Times New Roman"/>
        </w:rPr>
        <w:t xml:space="preserve"> </w:t>
      </w:r>
      <w:r w:rsidR="00BF32EE" w:rsidRPr="00563FA9">
        <w:rPr>
          <w:rFonts w:ascii="Times New Roman" w:hAnsi="Times New Roman" w:cs="Times New Roman"/>
        </w:rPr>
        <w:t xml:space="preserve">The cost of moving aggregates from the plant to the market often exceeds the sales price of the product at the plant. </w:t>
      </w:r>
      <w:r w:rsidR="004D579B">
        <w:rPr>
          <w:rFonts w:ascii="Times New Roman" w:hAnsi="Times New Roman" w:cs="Times New Roman"/>
        </w:rPr>
        <w:t xml:space="preserve"> </w:t>
      </w:r>
      <w:r w:rsidR="00BF32EE" w:rsidRPr="00563FA9">
        <w:rPr>
          <w:rFonts w:ascii="Times New Roman" w:hAnsi="Times New Roman" w:cs="Times New Roman"/>
        </w:rPr>
        <w:t xml:space="preserve">Because of the high cost of transportation, aggregates </w:t>
      </w:r>
      <w:r>
        <w:rPr>
          <w:rFonts w:ascii="Times New Roman" w:hAnsi="Times New Roman" w:cs="Times New Roman"/>
        </w:rPr>
        <w:t>are</w:t>
      </w:r>
      <w:r w:rsidR="00BF32EE" w:rsidRPr="00563FA9">
        <w:rPr>
          <w:rFonts w:ascii="Times New Roman" w:hAnsi="Times New Roman" w:cs="Times New Roman"/>
        </w:rPr>
        <w:t xml:space="preserve"> </w:t>
      </w:r>
      <w:r w:rsidR="00B065C7">
        <w:rPr>
          <w:rFonts w:ascii="Times New Roman" w:hAnsi="Times New Roman" w:cs="Times New Roman"/>
        </w:rPr>
        <w:t xml:space="preserve">generally </w:t>
      </w:r>
      <w:r w:rsidR="00BF32EE" w:rsidRPr="00563FA9">
        <w:rPr>
          <w:rFonts w:ascii="Times New Roman" w:hAnsi="Times New Roman" w:cs="Times New Roman"/>
        </w:rPr>
        <w:t>marketed locally</w:t>
      </w:r>
      <w:r w:rsidR="00BF32EE">
        <w:rPr>
          <w:rFonts w:ascii="Times New Roman" w:hAnsi="Times New Roman" w:cs="Times New Roman"/>
        </w:rPr>
        <w:t xml:space="preserve"> and the availability of local sources is an important factor in the total cost of infrastructure projects.  Failure to assess the availability of these materials can lead to very large cost overruns or project non-viability</w:t>
      </w:r>
      <w:r w:rsidR="00BF32EE" w:rsidRPr="00563FA9">
        <w:rPr>
          <w:rFonts w:ascii="Times New Roman" w:hAnsi="Times New Roman" w:cs="Times New Roman"/>
        </w:rPr>
        <w:t xml:space="preserve">. </w:t>
      </w:r>
      <w:r w:rsidR="004D579B">
        <w:rPr>
          <w:rFonts w:ascii="Times New Roman" w:hAnsi="Times New Roman" w:cs="Times New Roman"/>
        </w:rPr>
        <w:t xml:space="preserve"> </w:t>
      </w:r>
      <w:r>
        <w:rPr>
          <w:rFonts w:ascii="Times New Roman" w:hAnsi="Times New Roman" w:cs="Times New Roman"/>
        </w:rPr>
        <w:t xml:space="preserve">An example of a major construction project that failed to take aggregate availability into account was the Denver International Airport </w:t>
      </w:r>
      <w:r w:rsidR="00B065C7">
        <w:rPr>
          <w:rFonts w:ascii="Times New Roman" w:hAnsi="Times New Roman" w:cs="Times New Roman"/>
        </w:rPr>
        <w:t xml:space="preserve">project </w:t>
      </w:r>
      <w:r>
        <w:rPr>
          <w:rFonts w:ascii="Times New Roman" w:hAnsi="Times New Roman" w:cs="Times New Roman"/>
        </w:rPr>
        <w:t xml:space="preserve">which was budgeted to cost $2.8 billion but ended up costing $4.8 billion </w:t>
      </w:r>
      <w:r w:rsidR="00C749B3">
        <w:rPr>
          <w:rFonts w:ascii="Times New Roman" w:hAnsi="Times New Roman" w:cs="Times New Roman"/>
        </w:rPr>
        <w:t xml:space="preserve">at completion in 1995. </w:t>
      </w:r>
      <w:r w:rsidR="004D579B">
        <w:rPr>
          <w:rFonts w:ascii="Times New Roman" w:hAnsi="Times New Roman" w:cs="Times New Roman"/>
        </w:rPr>
        <w:t xml:space="preserve"> </w:t>
      </w:r>
      <w:r w:rsidR="00C749B3">
        <w:rPr>
          <w:rFonts w:ascii="Times New Roman" w:hAnsi="Times New Roman" w:cs="Times New Roman"/>
        </w:rPr>
        <w:t>The $2 billion cost overrun was</w:t>
      </w:r>
      <w:r w:rsidR="00131D27">
        <w:rPr>
          <w:rFonts w:ascii="Times New Roman" w:hAnsi="Times New Roman" w:cs="Times New Roman"/>
        </w:rPr>
        <w:t xml:space="preserve"> in part due </w:t>
      </w:r>
      <w:r>
        <w:rPr>
          <w:rFonts w:ascii="Times New Roman" w:hAnsi="Times New Roman" w:cs="Times New Roman"/>
        </w:rPr>
        <w:t>to failure to assess availability of sand, gravel, crushed stone, and cement</w:t>
      </w:r>
      <w:r w:rsidR="009E34FE">
        <w:rPr>
          <w:rFonts w:ascii="Times New Roman" w:hAnsi="Times New Roman" w:cs="Times New Roman"/>
        </w:rPr>
        <w:t>.</w:t>
      </w:r>
      <w:r w:rsidR="009E34FE">
        <w:rPr>
          <w:rFonts w:ascii="Times New Roman" w:hAnsi="Times New Roman" w:cs="Times New Roman"/>
          <w:vertAlign w:val="superscript"/>
        </w:rPr>
        <w:t xml:space="preserve"> </w:t>
      </w:r>
      <w:r w:rsidR="00D76C80" w:rsidRPr="009E34FE">
        <w:rPr>
          <w:rStyle w:val="FootnoteReference"/>
          <w:rFonts w:ascii="Times New Roman" w:hAnsi="Times New Roman" w:cs="Times New Roman"/>
        </w:rPr>
        <w:footnoteReference w:id="1"/>
      </w:r>
      <w:r w:rsidR="009E34FE" w:rsidRPr="009E34FE">
        <w:rPr>
          <w:rFonts w:ascii="Times New Roman" w:hAnsi="Times New Roman" w:cs="Times New Roman"/>
          <w:vertAlign w:val="superscript"/>
        </w:rPr>
        <w:t xml:space="preserve">, </w:t>
      </w:r>
      <w:r w:rsidR="00131D27" w:rsidRPr="009E34FE">
        <w:rPr>
          <w:rFonts w:ascii="Times New Roman" w:hAnsi="Times New Roman" w:cs="Times New Roman"/>
          <w:vertAlign w:val="superscript"/>
        </w:rPr>
        <w:t>2</w:t>
      </w:r>
    </w:p>
    <w:p w14:paraId="6DADD3C2" w14:textId="77777777" w:rsidR="009E34FE" w:rsidRDefault="009E34FE" w:rsidP="004F1A15">
      <w:pPr>
        <w:spacing w:line="240" w:lineRule="exact"/>
        <w:rPr>
          <w:rFonts w:ascii="Times New Roman" w:hAnsi="Times New Roman" w:cs="Times New Roman"/>
        </w:rPr>
      </w:pPr>
    </w:p>
    <w:tbl>
      <w:tblPr>
        <w:tblW w:w="9084" w:type="dxa"/>
        <w:jc w:val="center"/>
        <w:tblLook w:val="04A0" w:firstRow="1" w:lastRow="0" w:firstColumn="1" w:lastColumn="0" w:noHBand="0" w:noVBand="1"/>
      </w:tblPr>
      <w:tblGrid>
        <w:gridCol w:w="256"/>
        <w:gridCol w:w="2135"/>
        <w:gridCol w:w="607"/>
        <w:gridCol w:w="607"/>
        <w:gridCol w:w="607"/>
        <w:gridCol w:w="607"/>
        <w:gridCol w:w="607"/>
        <w:gridCol w:w="607"/>
        <w:gridCol w:w="607"/>
        <w:gridCol w:w="607"/>
        <w:gridCol w:w="607"/>
        <w:gridCol w:w="607"/>
        <w:gridCol w:w="623"/>
      </w:tblGrid>
      <w:tr w:rsidR="008F05F3" w:rsidRPr="009E34FE" w14:paraId="4E4D9D48" w14:textId="77777777" w:rsidTr="009E34FE">
        <w:trPr>
          <w:trHeight w:val="13"/>
          <w:jc w:val="center"/>
        </w:trPr>
        <w:tc>
          <w:tcPr>
            <w:tcW w:w="9084" w:type="dxa"/>
            <w:gridSpan w:val="13"/>
            <w:tcBorders>
              <w:top w:val="nil"/>
              <w:left w:val="nil"/>
              <w:bottom w:val="nil"/>
              <w:right w:val="nil"/>
            </w:tcBorders>
            <w:shd w:val="clear" w:color="auto" w:fill="auto"/>
            <w:noWrap/>
            <w:vAlign w:val="bottom"/>
            <w:hideMark/>
          </w:tcPr>
          <w:p w14:paraId="53CF2F12" w14:textId="29422B70" w:rsidR="008F05F3" w:rsidRPr="009E34FE" w:rsidRDefault="008F05F3" w:rsidP="008F05F3">
            <w:pPr>
              <w:spacing w:after="0"/>
              <w:jc w:val="center"/>
              <w:rPr>
                <w:rFonts w:ascii="Times New Roman" w:eastAsia="Times New Roman" w:hAnsi="Times New Roman" w:cs="Times New Roman"/>
                <w:color w:val="000000"/>
                <w:sz w:val="16"/>
                <w:szCs w:val="16"/>
                <w:lang w:eastAsia="en-US"/>
              </w:rPr>
            </w:pPr>
            <w:bookmarkStart w:id="0" w:name="RANGE!A1:M22"/>
            <w:bookmarkStart w:id="1" w:name="_GoBack" w:colFirst="0" w:colLast="13"/>
            <w:r w:rsidRPr="009E34FE">
              <w:rPr>
                <w:rFonts w:ascii="Times New Roman" w:eastAsia="Times New Roman" w:hAnsi="Times New Roman" w:cs="Times New Roman"/>
                <w:color w:val="000000"/>
                <w:sz w:val="16"/>
                <w:szCs w:val="16"/>
                <w:lang w:eastAsia="en-US"/>
              </w:rPr>
              <w:t>Salient Statistics for Infrastructure Materials</w:t>
            </w:r>
            <w:bookmarkEnd w:id="0"/>
            <w:r w:rsidR="009E34FE">
              <w:rPr>
                <w:rStyle w:val="FootnoteReference"/>
                <w:rFonts w:ascii="Times New Roman" w:eastAsia="Times New Roman" w:hAnsi="Times New Roman" w:cs="Times New Roman"/>
                <w:color w:val="000000"/>
                <w:sz w:val="16"/>
                <w:szCs w:val="16"/>
                <w:lang w:eastAsia="en-US"/>
              </w:rPr>
              <w:footnoteReference w:id="2"/>
            </w:r>
          </w:p>
        </w:tc>
      </w:tr>
      <w:tr w:rsidR="008F05F3" w:rsidRPr="009E34FE" w14:paraId="5E1CB818" w14:textId="77777777" w:rsidTr="009E34FE">
        <w:trPr>
          <w:trHeight w:val="13"/>
          <w:jc w:val="center"/>
        </w:trPr>
        <w:tc>
          <w:tcPr>
            <w:tcW w:w="9084" w:type="dxa"/>
            <w:gridSpan w:val="13"/>
            <w:tcBorders>
              <w:top w:val="nil"/>
              <w:left w:val="nil"/>
              <w:bottom w:val="nil"/>
              <w:right w:val="nil"/>
            </w:tcBorders>
            <w:shd w:val="clear" w:color="auto" w:fill="auto"/>
            <w:noWrap/>
            <w:vAlign w:val="bottom"/>
            <w:hideMark/>
          </w:tcPr>
          <w:p w14:paraId="1297A189" w14:textId="77777777" w:rsidR="008F05F3" w:rsidRPr="009E34FE" w:rsidRDefault="008F05F3" w:rsidP="008F05F3">
            <w:pPr>
              <w:spacing w:after="0"/>
              <w:jc w:val="center"/>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(Million metric tons unless otherwise noted)</w:t>
            </w:r>
          </w:p>
        </w:tc>
      </w:tr>
      <w:tr w:rsidR="009E34FE" w:rsidRPr="009E34FE" w14:paraId="62E8DD11" w14:textId="77777777" w:rsidTr="009E34FE">
        <w:trPr>
          <w:jc w:val="center"/>
        </w:trPr>
        <w:tc>
          <w:tcPr>
            <w:tcW w:w="255" w:type="dxa"/>
            <w:tcBorders>
              <w:top w:val="nil"/>
              <w:left w:val="nil"/>
              <w:bottom w:val="nil"/>
              <w:right w:val="nil"/>
            </w:tcBorders>
            <w:shd w:val="clear" w:color="auto" w:fill="auto"/>
            <w:noWrap/>
            <w:vAlign w:val="bottom"/>
            <w:hideMark/>
          </w:tcPr>
          <w:p w14:paraId="0ECF5AD2"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43DBE58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6026C6C"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6066466"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E464584"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28E5B61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F8761BB"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7BD007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8C71A7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94FF7AA"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BDD0ED2"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1A8E74D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16" w:type="dxa"/>
            <w:tcBorders>
              <w:top w:val="nil"/>
              <w:left w:val="nil"/>
              <w:bottom w:val="nil"/>
              <w:right w:val="nil"/>
            </w:tcBorders>
            <w:shd w:val="clear" w:color="auto" w:fill="auto"/>
            <w:noWrap/>
            <w:vAlign w:val="bottom"/>
            <w:hideMark/>
          </w:tcPr>
          <w:p w14:paraId="662635B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r>
      <w:tr w:rsidR="009E34FE" w:rsidRPr="009E34FE" w14:paraId="41EA8F1A" w14:textId="77777777" w:rsidTr="009E34FE">
        <w:trPr>
          <w:trHeight w:val="12"/>
          <w:jc w:val="center"/>
        </w:trPr>
        <w:tc>
          <w:tcPr>
            <w:tcW w:w="255" w:type="dxa"/>
            <w:tcBorders>
              <w:top w:val="single" w:sz="4" w:space="0" w:color="auto"/>
              <w:left w:val="nil"/>
              <w:bottom w:val="single" w:sz="4" w:space="0" w:color="auto"/>
              <w:right w:val="nil"/>
            </w:tcBorders>
            <w:shd w:val="clear" w:color="auto" w:fill="auto"/>
            <w:noWrap/>
            <w:vAlign w:val="bottom"/>
            <w:hideMark/>
          </w:tcPr>
          <w:p w14:paraId="1A75B89C"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 </w:t>
            </w:r>
          </w:p>
        </w:tc>
        <w:tc>
          <w:tcPr>
            <w:tcW w:w="2134" w:type="dxa"/>
            <w:tcBorders>
              <w:top w:val="single" w:sz="4" w:space="0" w:color="auto"/>
              <w:left w:val="nil"/>
              <w:bottom w:val="single" w:sz="4" w:space="0" w:color="auto"/>
              <w:right w:val="nil"/>
            </w:tcBorders>
            <w:shd w:val="clear" w:color="auto" w:fill="auto"/>
            <w:noWrap/>
            <w:vAlign w:val="bottom"/>
            <w:hideMark/>
          </w:tcPr>
          <w:p w14:paraId="3137ED9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 </w:t>
            </w:r>
          </w:p>
        </w:tc>
        <w:tc>
          <w:tcPr>
            <w:tcW w:w="607" w:type="dxa"/>
            <w:tcBorders>
              <w:top w:val="single" w:sz="4" w:space="0" w:color="auto"/>
              <w:left w:val="nil"/>
              <w:bottom w:val="single" w:sz="4" w:space="0" w:color="auto"/>
              <w:right w:val="nil"/>
            </w:tcBorders>
            <w:shd w:val="clear" w:color="auto" w:fill="auto"/>
            <w:noWrap/>
            <w:vAlign w:val="bottom"/>
            <w:hideMark/>
          </w:tcPr>
          <w:p w14:paraId="49A1DD0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2006</w:t>
            </w:r>
          </w:p>
        </w:tc>
        <w:tc>
          <w:tcPr>
            <w:tcW w:w="607" w:type="dxa"/>
            <w:tcBorders>
              <w:top w:val="single" w:sz="4" w:space="0" w:color="auto"/>
              <w:left w:val="nil"/>
              <w:bottom w:val="single" w:sz="4" w:space="0" w:color="auto"/>
              <w:right w:val="nil"/>
            </w:tcBorders>
            <w:shd w:val="clear" w:color="auto" w:fill="auto"/>
            <w:noWrap/>
            <w:vAlign w:val="bottom"/>
            <w:hideMark/>
          </w:tcPr>
          <w:p w14:paraId="61A8E0A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2007</w:t>
            </w:r>
          </w:p>
        </w:tc>
        <w:tc>
          <w:tcPr>
            <w:tcW w:w="607" w:type="dxa"/>
            <w:tcBorders>
              <w:top w:val="single" w:sz="4" w:space="0" w:color="auto"/>
              <w:left w:val="nil"/>
              <w:bottom w:val="single" w:sz="4" w:space="0" w:color="auto"/>
              <w:right w:val="nil"/>
            </w:tcBorders>
            <w:shd w:val="clear" w:color="auto" w:fill="auto"/>
            <w:noWrap/>
            <w:vAlign w:val="bottom"/>
            <w:hideMark/>
          </w:tcPr>
          <w:p w14:paraId="26BE7C3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2008</w:t>
            </w:r>
          </w:p>
        </w:tc>
        <w:tc>
          <w:tcPr>
            <w:tcW w:w="607" w:type="dxa"/>
            <w:tcBorders>
              <w:top w:val="single" w:sz="4" w:space="0" w:color="auto"/>
              <w:left w:val="nil"/>
              <w:bottom w:val="single" w:sz="4" w:space="0" w:color="auto"/>
              <w:right w:val="nil"/>
            </w:tcBorders>
            <w:shd w:val="clear" w:color="auto" w:fill="auto"/>
            <w:noWrap/>
            <w:vAlign w:val="bottom"/>
            <w:hideMark/>
          </w:tcPr>
          <w:p w14:paraId="74AF5FB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2009</w:t>
            </w:r>
          </w:p>
        </w:tc>
        <w:tc>
          <w:tcPr>
            <w:tcW w:w="607" w:type="dxa"/>
            <w:tcBorders>
              <w:top w:val="single" w:sz="4" w:space="0" w:color="auto"/>
              <w:left w:val="nil"/>
              <w:bottom w:val="single" w:sz="4" w:space="0" w:color="auto"/>
              <w:right w:val="nil"/>
            </w:tcBorders>
            <w:shd w:val="clear" w:color="auto" w:fill="auto"/>
            <w:noWrap/>
            <w:vAlign w:val="bottom"/>
            <w:hideMark/>
          </w:tcPr>
          <w:p w14:paraId="06F8736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2010</w:t>
            </w:r>
          </w:p>
        </w:tc>
        <w:tc>
          <w:tcPr>
            <w:tcW w:w="607" w:type="dxa"/>
            <w:tcBorders>
              <w:top w:val="single" w:sz="4" w:space="0" w:color="auto"/>
              <w:left w:val="nil"/>
              <w:bottom w:val="single" w:sz="4" w:space="0" w:color="auto"/>
              <w:right w:val="nil"/>
            </w:tcBorders>
            <w:shd w:val="clear" w:color="auto" w:fill="auto"/>
            <w:noWrap/>
            <w:vAlign w:val="bottom"/>
            <w:hideMark/>
          </w:tcPr>
          <w:p w14:paraId="04703AF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2011</w:t>
            </w:r>
          </w:p>
        </w:tc>
        <w:tc>
          <w:tcPr>
            <w:tcW w:w="607" w:type="dxa"/>
            <w:tcBorders>
              <w:top w:val="single" w:sz="4" w:space="0" w:color="auto"/>
              <w:left w:val="nil"/>
              <w:bottom w:val="single" w:sz="4" w:space="0" w:color="auto"/>
              <w:right w:val="nil"/>
            </w:tcBorders>
            <w:shd w:val="clear" w:color="auto" w:fill="auto"/>
            <w:noWrap/>
            <w:vAlign w:val="bottom"/>
            <w:hideMark/>
          </w:tcPr>
          <w:p w14:paraId="6092FBE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2012</w:t>
            </w:r>
          </w:p>
        </w:tc>
        <w:tc>
          <w:tcPr>
            <w:tcW w:w="607" w:type="dxa"/>
            <w:tcBorders>
              <w:top w:val="single" w:sz="4" w:space="0" w:color="auto"/>
              <w:left w:val="nil"/>
              <w:bottom w:val="single" w:sz="4" w:space="0" w:color="auto"/>
              <w:right w:val="nil"/>
            </w:tcBorders>
            <w:shd w:val="clear" w:color="auto" w:fill="auto"/>
            <w:noWrap/>
            <w:vAlign w:val="bottom"/>
            <w:hideMark/>
          </w:tcPr>
          <w:p w14:paraId="01D7D06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2013</w:t>
            </w:r>
          </w:p>
        </w:tc>
        <w:tc>
          <w:tcPr>
            <w:tcW w:w="607" w:type="dxa"/>
            <w:tcBorders>
              <w:top w:val="single" w:sz="4" w:space="0" w:color="auto"/>
              <w:left w:val="nil"/>
              <w:bottom w:val="single" w:sz="4" w:space="0" w:color="auto"/>
              <w:right w:val="nil"/>
            </w:tcBorders>
            <w:shd w:val="clear" w:color="auto" w:fill="auto"/>
            <w:noWrap/>
            <w:vAlign w:val="bottom"/>
            <w:hideMark/>
          </w:tcPr>
          <w:p w14:paraId="4F61B07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2014</w:t>
            </w:r>
          </w:p>
        </w:tc>
        <w:tc>
          <w:tcPr>
            <w:tcW w:w="607" w:type="dxa"/>
            <w:tcBorders>
              <w:top w:val="single" w:sz="4" w:space="0" w:color="auto"/>
              <w:left w:val="nil"/>
              <w:bottom w:val="single" w:sz="4" w:space="0" w:color="auto"/>
              <w:right w:val="nil"/>
            </w:tcBorders>
            <w:shd w:val="clear" w:color="auto" w:fill="auto"/>
            <w:noWrap/>
            <w:vAlign w:val="bottom"/>
            <w:hideMark/>
          </w:tcPr>
          <w:p w14:paraId="71BBAAE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2015</w:t>
            </w:r>
          </w:p>
        </w:tc>
        <w:tc>
          <w:tcPr>
            <w:tcW w:w="616" w:type="dxa"/>
            <w:tcBorders>
              <w:top w:val="single" w:sz="4" w:space="0" w:color="auto"/>
              <w:left w:val="nil"/>
              <w:bottom w:val="single" w:sz="4" w:space="0" w:color="auto"/>
              <w:right w:val="nil"/>
            </w:tcBorders>
            <w:shd w:val="clear" w:color="auto" w:fill="auto"/>
            <w:noWrap/>
            <w:vAlign w:val="bottom"/>
            <w:hideMark/>
          </w:tcPr>
          <w:p w14:paraId="479889C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2016</w:t>
            </w:r>
            <w:r w:rsidRPr="009E34FE">
              <w:rPr>
                <w:rFonts w:ascii="Times New Roman" w:eastAsia="Times New Roman" w:hAnsi="Times New Roman" w:cs="Times New Roman"/>
                <w:color w:val="000000"/>
                <w:sz w:val="16"/>
                <w:szCs w:val="16"/>
                <w:vertAlign w:val="superscript"/>
                <w:lang w:eastAsia="en-US"/>
              </w:rPr>
              <w:t>e</w:t>
            </w:r>
          </w:p>
        </w:tc>
      </w:tr>
      <w:tr w:rsidR="009E34FE" w:rsidRPr="009E34FE" w14:paraId="3C6B2BB4" w14:textId="77777777" w:rsidTr="009E34FE">
        <w:trPr>
          <w:trHeight w:val="13"/>
          <w:jc w:val="center"/>
        </w:trPr>
        <w:tc>
          <w:tcPr>
            <w:tcW w:w="2390" w:type="dxa"/>
            <w:gridSpan w:val="2"/>
            <w:tcBorders>
              <w:top w:val="nil"/>
              <w:left w:val="nil"/>
              <w:bottom w:val="nil"/>
              <w:right w:val="nil"/>
            </w:tcBorders>
            <w:shd w:val="clear" w:color="auto" w:fill="auto"/>
            <w:noWrap/>
            <w:vAlign w:val="bottom"/>
            <w:hideMark/>
          </w:tcPr>
          <w:p w14:paraId="5E80C34B"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Sand and gravel, construction:</w:t>
            </w:r>
          </w:p>
        </w:tc>
        <w:tc>
          <w:tcPr>
            <w:tcW w:w="607" w:type="dxa"/>
            <w:tcBorders>
              <w:top w:val="nil"/>
              <w:left w:val="nil"/>
              <w:bottom w:val="nil"/>
              <w:right w:val="nil"/>
            </w:tcBorders>
            <w:shd w:val="clear" w:color="auto" w:fill="auto"/>
            <w:noWrap/>
            <w:vAlign w:val="bottom"/>
            <w:hideMark/>
          </w:tcPr>
          <w:p w14:paraId="0CD0EED6"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667525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4CFDD0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560340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6B9F25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693246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5E9A9F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029407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299A0A3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1587A22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16" w:type="dxa"/>
            <w:tcBorders>
              <w:top w:val="nil"/>
              <w:left w:val="nil"/>
              <w:bottom w:val="nil"/>
              <w:right w:val="nil"/>
            </w:tcBorders>
            <w:shd w:val="clear" w:color="auto" w:fill="auto"/>
            <w:noWrap/>
            <w:vAlign w:val="bottom"/>
            <w:hideMark/>
          </w:tcPr>
          <w:p w14:paraId="0F654DE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r>
      <w:tr w:rsidR="009E34FE" w:rsidRPr="009E34FE" w14:paraId="4373CB9A"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7678717A"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05A6546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Domestic production</w:t>
            </w:r>
          </w:p>
        </w:tc>
        <w:tc>
          <w:tcPr>
            <w:tcW w:w="607" w:type="dxa"/>
            <w:tcBorders>
              <w:top w:val="nil"/>
              <w:left w:val="nil"/>
              <w:bottom w:val="nil"/>
              <w:right w:val="nil"/>
            </w:tcBorders>
            <w:shd w:val="clear" w:color="auto" w:fill="auto"/>
            <w:noWrap/>
            <w:vAlign w:val="bottom"/>
            <w:hideMark/>
          </w:tcPr>
          <w:p w14:paraId="5900A94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1,330</w:t>
            </w:r>
          </w:p>
        </w:tc>
        <w:tc>
          <w:tcPr>
            <w:tcW w:w="607" w:type="dxa"/>
            <w:tcBorders>
              <w:top w:val="nil"/>
              <w:left w:val="nil"/>
              <w:bottom w:val="nil"/>
              <w:right w:val="nil"/>
            </w:tcBorders>
            <w:shd w:val="clear" w:color="auto" w:fill="auto"/>
            <w:noWrap/>
            <w:vAlign w:val="bottom"/>
            <w:hideMark/>
          </w:tcPr>
          <w:p w14:paraId="096B6CB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1,250</w:t>
            </w:r>
          </w:p>
        </w:tc>
        <w:tc>
          <w:tcPr>
            <w:tcW w:w="607" w:type="dxa"/>
            <w:tcBorders>
              <w:top w:val="nil"/>
              <w:left w:val="nil"/>
              <w:bottom w:val="nil"/>
              <w:right w:val="nil"/>
            </w:tcBorders>
            <w:shd w:val="clear" w:color="auto" w:fill="auto"/>
            <w:noWrap/>
            <w:vAlign w:val="bottom"/>
            <w:hideMark/>
          </w:tcPr>
          <w:p w14:paraId="7936E42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1,060</w:t>
            </w:r>
          </w:p>
        </w:tc>
        <w:tc>
          <w:tcPr>
            <w:tcW w:w="607" w:type="dxa"/>
            <w:tcBorders>
              <w:top w:val="nil"/>
              <w:left w:val="nil"/>
              <w:bottom w:val="nil"/>
              <w:right w:val="nil"/>
            </w:tcBorders>
            <w:shd w:val="clear" w:color="auto" w:fill="auto"/>
            <w:noWrap/>
            <w:vAlign w:val="bottom"/>
            <w:hideMark/>
          </w:tcPr>
          <w:p w14:paraId="49DC6C9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838</w:t>
            </w:r>
          </w:p>
        </w:tc>
        <w:tc>
          <w:tcPr>
            <w:tcW w:w="607" w:type="dxa"/>
            <w:tcBorders>
              <w:top w:val="nil"/>
              <w:left w:val="nil"/>
              <w:bottom w:val="nil"/>
              <w:right w:val="nil"/>
            </w:tcBorders>
            <w:shd w:val="clear" w:color="auto" w:fill="auto"/>
            <w:noWrap/>
            <w:vAlign w:val="bottom"/>
            <w:hideMark/>
          </w:tcPr>
          <w:p w14:paraId="283D9E7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807</w:t>
            </w:r>
          </w:p>
        </w:tc>
        <w:tc>
          <w:tcPr>
            <w:tcW w:w="607" w:type="dxa"/>
            <w:tcBorders>
              <w:top w:val="nil"/>
              <w:left w:val="nil"/>
              <w:bottom w:val="nil"/>
              <w:right w:val="nil"/>
            </w:tcBorders>
            <w:shd w:val="clear" w:color="auto" w:fill="auto"/>
            <w:noWrap/>
            <w:vAlign w:val="bottom"/>
            <w:hideMark/>
          </w:tcPr>
          <w:p w14:paraId="5EF5000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809</w:t>
            </w:r>
          </w:p>
        </w:tc>
        <w:tc>
          <w:tcPr>
            <w:tcW w:w="607" w:type="dxa"/>
            <w:tcBorders>
              <w:top w:val="nil"/>
              <w:left w:val="nil"/>
              <w:bottom w:val="nil"/>
              <w:right w:val="nil"/>
            </w:tcBorders>
            <w:shd w:val="clear" w:color="auto" w:fill="auto"/>
            <w:noWrap/>
            <w:vAlign w:val="bottom"/>
            <w:hideMark/>
          </w:tcPr>
          <w:p w14:paraId="780E698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812</w:t>
            </w:r>
          </w:p>
        </w:tc>
        <w:tc>
          <w:tcPr>
            <w:tcW w:w="607" w:type="dxa"/>
            <w:tcBorders>
              <w:top w:val="nil"/>
              <w:left w:val="nil"/>
              <w:bottom w:val="nil"/>
              <w:right w:val="nil"/>
            </w:tcBorders>
            <w:shd w:val="clear" w:color="auto" w:fill="auto"/>
            <w:noWrap/>
            <w:vAlign w:val="bottom"/>
            <w:hideMark/>
          </w:tcPr>
          <w:p w14:paraId="5BF426B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847</w:t>
            </w:r>
          </w:p>
        </w:tc>
        <w:tc>
          <w:tcPr>
            <w:tcW w:w="607" w:type="dxa"/>
            <w:tcBorders>
              <w:top w:val="nil"/>
              <w:left w:val="nil"/>
              <w:bottom w:val="nil"/>
              <w:right w:val="nil"/>
            </w:tcBorders>
            <w:shd w:val="clear" w:color="auto" w:fill="auto"/>
            <w:noWrap/>
            <w:vAlign w:val="bottom"/>
            <w:hideMark/>
          </w:tcPr>
          <w:p w14:paraId="407EABF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897</w:t>
            </w:r>
          </w:p>
        </w:tc>
        <w:tc>
          <w:tcPr>
            <w:tcW w:w="607" w:type="dxa"/>
            <w:tcBorders>
              <w:top w:val="nil"/>
              <w:left w:val="nil"/>
              <w:bottom w:val="nil"/>
              <w:right w:val="nil"/>
            </w:tcBorders>
            <w:shd w:val="clear" w:color="auto" w:fill="auto"/>
            <w:noWrap/>
            <w:vAlign w:val="bottom"/>
            <w:hideMark/>
          </w:tcPr>
          <w:p w14:paraId="569859B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937</w:t>
            </w:r>
          </w:p>
        </w:tc>
        <w:tc>
          <w:tcPr>
            <w:tcW w:w="616" w:type="dxa"/>
            <w:tcBorders>
              <w:top w:val="nil"/>
              <w:left w:val="nil"/>
              <w:bottom w:val="nil"/>
              <w:right w:val="nil"/>
            </w:tcBorders>
            <w:shd w:val="clear" w:color="auto" w:fill="auto"/>
            <w:noWrap/>
            <w:vAlign w:val="bottom"/>
            <w:hideMark/>
          </w:tcPr>
          <w:p w14:paraId="2DB63DF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959</w:t>
            </w:r>
          </w:p>
        </w:tc>
      </w:tr>
      <w:tr w:rsidR="009E34FE" w:rsidRPr="009E34FE" w14:paraId="51D721BF"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4C56A67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333DF78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Consumption, apparent</w:t>
            </w:r>
          </w:p>
        </w:tc>
        <w:tc>
          <w:tcPr>
            <w:tcW w:w="607" w:type="dxa"/>
            <w:tcBorders>
              <w:top w:val="nil"/>
              <w:left w:val="nil"/>
              <w:bottom w:val="nil"/>
              <w:right w:val="nil"/>
            </w:tcBorders>
            <w:shd w:val="clear" w:color="auto" w:fill="auto"/>
            <w:noWrap/>
            <w:vAlign w:val="bottom"/>
            <w:hideMark/>
          </w:tcPr>
          <w:p w14:paraId="6B4EDCD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1,320</w:t>
            </w:r>
          </w:p>
        </w:tc>
        <w:tc>
          <w:tcPr>
            <w:tcW w:w="607" w:type="dxa"/>
            <w:tcBorders>
              <w:top w:val="nil"/>
              <w:left w:val="nil"/>
              <w:bottom w:val="nil"/>
              <w:right w:val="nil"/>
            </w:tcBorders>
            <w:shd w:val="clear" w:color="auto" w:fill="auto"/>
            <w:noWrap/>
            <w:vAlign w:val="bottom"/>
            <w:hideMark/>
          </w:tcPr>
          <w:p w14:paraId="4B7C527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1,250</w:t>
            </w:r>
          </w:p>
        </w:tc>
        <w:tc>
          <w:tcPr>
            <w:tcW w:w="607" w:type="dxa"/>
            <w:tcBorders>
              <w:top w:val="nil"/>
              <w:left w:val="nil"/>
              <w:bottom w:val="nil"/>
              <w:right w:val="nil"/>
            </w:tcBorders>
            <w:shd w:val="clear" w:color="auto" w:fill="auto"/>
            <w:noWrap/>
            <w:vAlign w:val="bottom"/>
            <w:hideMark/>
          </w:tcPr>
          <w:p w14:paraId="7B7592C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1,060</w:t>
            </w:r>
          </w:p>
        </w:tc>
        <w:tc>
          <w:tcPr>
            <w:tcW w:w="607" w:type="dxa"/>
            <w:tcBorders>
              <w:top w:val="nil"/>
              <w:left w:val="nil"/>
              <w:bottom w:val="nil"/>
              <w:right w:val="nil"/>
            </w:tcBorders>
            <w:shd w:val="clear" w:color="auto" w:fill="auto"/>
            <w:noWrap/>
            <w:vAlign w:val="bottom"/>
            <w:hideMark/>
          </w:tcPr>
          <w:p w14:paraId="688D92F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841</w:t>
            </w:r>
          </w:p>
        </w:tc>
        <w:tc>
          <w:tcPr>
            <w:tcW w:w="607" w:type="dxa"/>
            <w:tcBorders>
              <w:top w:val="nil"/>
              <w:left w:val="nil"/>
              <w:bottom w:val="nil"/>
              <w:right w:val="nil"/>
            </w:tcBorders>
            <w:shd w:val="clear" w:color="auto" w:fill="auto"/>
            <w:noWrap/>
            <w:vAlign w:val="bottom"/>
            <w:hideMark/>
          </w:tcPr>
          <w:p w14:paraId="1A4B2B0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809</w:t>
            </w:r>
          </w:p>
        </w:tc>
        <w:tc>
          <w:tcPr>
            <w:tcW w:w="607" w:type="dxa"/>
            <w:tcBorders>
              <w:top w:val="nil"/>
              <w:left w:val="nil"/>
              <w:bottom w:val="nil"/>
              <w:right w:val="nil"/>
            </w:tcBorders>
            <w:shd w:val="clear" w:color="auto" w:fill="auto"/>
            <w:noWrap/>
            <w:vAlign w:val="bottom"/>
            <w:hideMark/>
          </w:tcPr>
          <w:p w14:paraId="50BF631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812</w:t>
            </w:r>
          </w:p>
        </w:tc>
        <w:tc>
          <w:tcPr>
            <w:tcW w:w="607" w:type="dxa"/>
            <w:tcBorders>
              <w:top w:val="nil"/>
              <w:left w:val="nil"/>
              <w:bottom w:val="nil"/>
              <w:right w:val="nil"/>
            </w:tcBorders>
            <w:shd w:val="clear" w:color="auto" w:fill="auto"/>
            <w:noWrap/>
            <w:vAlign w:val="bottom"/>
            <w:hideMark/>
          </w:tcPr>
          <w:p w14:paraId="5949739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815</w:t>
            </w:r>
          </w:p>
        </w:tc>
        <w:tc>
          <w:tcPr>
            <w:tcW w:w="607" w:type="dxa"/>
            <w:tcBorders>
              <w:top w:val="nil"/>
              <w:left w:val="nil"/>
              <w:bottom w:val="nil"/>
              <w:right w:val="nil"/>
            </w:tcBorders>
            <w:shd w:val="clear" w:color="auto" w:fill="auto"/>
            <w:noWrap/>
            <w:vAlign w:val="bottom"/>
            <w:hideMark/>
          </w:tcPr>
          <w:p w14:paraId="71E4934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851</w:t>
            </w:r>
          </w:p>
        </w:tc>
        <w:tc>
          <w:tcPr>
            <w:tcW w:w="607" w:type="dxa"/>
            <w:tcBorders>
              <w:top w:val="nil"/>
              <w:left w:val="nil"/>
              <w:bottom w:val="nil"/>
              <w:right w:val="nil"/>
            </w:tcBorders>
            <w:shd w:val="clear" w:color="auto" w:fill="auto"/>
            <w:noWrap/>
            <w:vAlign w:val="bottom"/>
            <w:hideMark/>
          </w:tcPr>
          <w:p w14:paraId="68F36E7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901</w:t>
            </w:r>
          </w:p>
        </w:tc>
        <w:tc>
          <w:tcPr>
            <w:tcW w:w="607" w:type="dxa"/>
            <w:tcBorders>
              <w:top w:val="nil"/>
              <w:left w:val="nil"/>
              <w:bottom w:val="nil"/>
              <w:right w:val="nil"/>
            </w:tcBorders>
            <w:shd w:val="clear" w:color="auto" w:fill="auto"/>
            <w:noWrap/>
            <w:vAlign w:val="bottom"/>
            <w:hideMark/>
          </w:tcPr>
          <w:p w14:paraId="5DE2FEA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941</w:t>
            </w:r>
          </w:p>
        </w:tc>
        <w:tc>
          <w:tcPr>
            <w:tcW w:w="616" w:type="dxa"/>
            <w:tcBorders>
              <w:top w:val="nil"/>
              <w:left w:val="nil"/>
              <w:bottom w:val="nil"/>
              <w:right w:val="nil"/>
            </w:tcBorders>
            <w:shd w:val="clear" w:color="auto" w:fill="auto"/>
            <w:noWrap/>
            <w:vAlign w:val="bottom"/>
            <w:hideMark/>
          </w:tcPr>
          <w:p w14:paraId="684FA0C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959</w:t>
            </w:r>
          </w:p>
        </w:tc>
      </w:tr>
      <w:tr w:rsidR="009E34FE" w:rsidRPr="009E34FE" w14:paraId="1E8EBD85" w14:textId="77777777" w:rsidTr="009E34FE">
        <w:trPr>
          <w:trHeight w:val="25"/>
          <w:jc w:val="center"/>
        </w:trPr>
        <w:tc>
          <w:tcPr>
            <w:tcW w:w="255" w:type="dxa"/>
            <w:tcBorders>
              <w:top w:val="nil"/>
              <w:left w:val="nil"/>
              <w:bottom w:val="single" w:sz="4" w:space="0" w:color="auto"/>
              <w:right w:val="nil"/>
            </w:tcBorders>
            <w:shd w:val="clear" w:color="auto" w:fill="auto"/>
            <w:noWrap/>
            <w:vAlign w:val="bottom"/>
            <w:hideMark/>
          </w:tcPr>
          <w:p w14:paraId="45366C1C"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 </w:t>
            </w:r>
          </w:p>
        </w:tc>
        <w:tc>
          <w:tcPr>
            <w:tcW w:w="2134" w:type="dxa"/>
            <w:tcBorders>
              <w:top w:val="nil"/>
              <w:left w:val="nil"/>
              <w:bottom w:val="single" w:sz="4" w:space="0" w:color="auto"/>
              <w:right w:val="nil"/>
            </w:tcBorders>
            <w:shd w:val="clear" w:color="auto" w:fill="auto"/>
            <w:vAlign w:val="bottom"/>
            <w:hideMark/>
          </w:tcPr>
          <w:p w14:paraId="53DE523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Net import reliance as % of consumption</w:t>
            </w:r>
          </w:p>
        </w:tc>
        <w:tc>
          <w:tcPr>
            <w:tcW w:w="607" w:type="dxa"/>
            <w:tcBorders>
              <w:top w:val="nil"/>
              <w:left w:val="nil"/>
              <w:bottom w:val="single" w:sz="4" w:space="0" w:color="auto"/>
              <w:right w:val="nil"/>
            </w:tcBorders>
            <w:shd w:val="clear" w:color="auto" w:fill="auto"/>
            <w:noWrap/>
            <w:vAlign w:val="bottom"/>
            <w:hideMark/>
          </w:tcPr>
          <w:p w14:paraId="13045B2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292A8F5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60CA973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5718B85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6A645F0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279F958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3038E03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10FDAAD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6E8EE6C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single" w:sz="4" w:space="0" w:color="auto"/>
              <w:right w:val="nil"/>
            </w:tcBorders>
            <w:shd w:val="clear" w:color="auto" w:fill="auto"/>
            <w:noWrap/>
            <w:vAlign w:val="bottom"/>
            <w:hideMark/>
          </w:tcPr>
          <w:p w14:paraId="7B38F5E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16" w:type="dxa"/>
            <w:tcBorders>
              <w:top w:val="nil"/>
              <w:left w:val="nil"/>
              <w:bottom w:val="single" w:sz="4" w:space="0" w:color="auto"/>
              <w:right w:val="nil"/>
            </w:tcBorders>
            <w:shd w:val="clear" w:color="auto" w:fill="auto"/>
            <w:noWrap/>
            <w:vAlign w:val="bottom"/>
            <w:hideMark/>
          </w:tcPr>
          <w:p w14:paraId="533E780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r>
      <w:tr w:rsidR="009E34FE" w:rsidRPr="009E34FE" w14:paraId="10F8DBD9" w14:textId="77777777" w:rsidTr="009E34FE">
        <w:trPr>
          <w:trHeight w:val="13"/>
          <w:jc w:val="center"/>
        </w:trPr>
        <w:tc>
          <w:tcPr>
            <w:tcW w:w="2390" w:type="dxa"/>
            <w:gridSpan w:val="2"/>
            <w:tcBorders>
              <w:top w:val="nil"/>
              <w:left w:val="nil"/>
              <w:bottom w:val="nil"/>
              <w:right w:val="nil"/>
            </w:tcBorders>
            <w:shd w:val="clear" w:color="auto" w:fill="auto"/>
            <w:noWrap/>
            <w:vAlign w:val="bottom"/>
            <w:hideMark/>
          </w:tcPr>
          <w:p w14:paraId="65095428"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Stone, crushed:</w:t>
            </w:r>
          </w:p>
        </w:tc>
        <w:tc>
          <w:tcPr>
            <w:tcW w:w="607" w:type="dxa"/>
            <w:tcBorders>
              <w:top w:val="nil"/>
              <w:left w:val="nil"/>
              <w:bottom w:val="nil"/>
              <w:right w:val="nil"/>
            </w:tcBorders>
            <w:shd w:val="clear" w:color="auto" w:fill="auto"/>
            <w:noWrap/>
            <w:vAlign w:val="bottom"/>
            <w:hideMark/>
          </w:tcPr>
          <w:p w14:paraId="31EE6F4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232ED998"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75E72E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D6B348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74CBF23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F191960"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10EF649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AF30A90"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8E90D0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FA4BF4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16" w:type="dxa"/>
            <w:tcBorders>
              <w:top w:val="nil"/>
              <w:left w:val="nil"/>
              <w:bottom w:val="nil"/>
              <w:right w:val="nil"/>
            </w:tcBorders>
            <w:shd w:val="clear" w:color="auto" w:fill="auto"/>
            <w:noWrap/>
            <w:vAlign w:val="bottom"/>
            <w:hideMark/>
          </w:tcPr>
          <w:p w14:paraId="7E4AA71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r>
      <w:tr w:rsidR="009E34FE" w:rsidRPr="009E34FE" w14:paraId="08FD9BC8" w14:textId="77777777" w:rsidTr="009E34FE">
        <w:trPr>
          <w:trHeight w:val="12"/>
          <w:jc w:val="center"/>
        </w:trPr>
        <w:tc>
          <w:tcPr>
            <w:tcW w:w="255" w:type="dxa"/>
            <w:tcBorders>
              <w:top w:val="nil"/>
              <w:left w:val="nil"/>
              <w:bottom w:val="nil"/>
              <w:right w:val="nil"/>
            </w:tcBorders>
            <w:shd w:val="clear" w:color="auto" w:fill="auto"/>
            <w:noWrap/>
            <w:vAlign w:val="bottom"/>
            <w:hideMark/>
          </w:tcPr>
          <w:p w14:paraId="3616DA3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25BD52C8"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Domestic production</w:t>
            </w:r>
          </w:p>
        </w:tc>
        <w:tc>
          <w:tcPr>
            <w:tcW w:w="607" w:type="dxa"/>
            <w:tcBorders>
              <w:top w:val="nil"/>
              <w:left w:val="nil"/>
              <w:bottom w:val="nil"/>
              <w:right w:val="nil"/>
            </w:tcBorders>
            <w:shd w:val="clear" w:color="auto" w:fill="auto"/>
            <w:noWrap/>
            <w:vAlign w:val="bottom"/>
            <w:hideMark/>
          </w:tcPr>
          <w:p w14:paraId="6B1D995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1,780</w:t>
            </w:r>
          </w:p>
        </w:tc>
        <w:tc>
          <w:tcPr>
            <w:tcW w:w="607" w:type="dxa"/>
            <w:tcBorders>
              <w:top w:val="nil"/>
              <w:left w:val="nil"/>
              <w:bottom w:val="nil"/>
              <w:right w:val="nil"/>
            </w:tcBorders>
            <w:shd w:val="clear" w:color="auto" w:fill="auto"/>
            <w:noWrap/>
            <w:vAlign w:val="bottom"/>
            <w:hideMark/>
          </w:tcPr>
          <w:p w14:paraId="6990CB3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1,650</w:t>
            </w:r>
          </w:p>
        </w:tc>
        <w:tc>
          <w:tcPr>
            <w:tcW w:w="607" w:type="dxa"/>
            <w:tcBorders>
              <w:top w:val="nil"/>
              <w:left w:val="nil"/>
              <w:bottom w:val="nil"/>
              <w:right w:val="nil"/>
            </w:tcBorders>
            <w:shd w:val="clear" w:color="auto" w:fill="auto"/>
            <w:noWrap/>
            <w:vAlign w:val="bottom"/>
            <w:hideMark/>
          </w:tcPr>
          <w:p w14:paraId="72D1D02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1,450</w:t>
            </w:r>
          </w:p>
        </w:tc>
        <w:tc>
          <w:tcPr>
            <w:tcW w:w="607" w:type="dxa"/>
            <w:tcBorders>
              <w:top w:val="nil"/>
              <w:left w:val="nil"/>
              <w:bottom w:val="nil"/>
              <w:right w:val="nil"/>
            </w:tcBorders>
            <w:shd w:val="clear" w:color="auto" w:fill="auto"/>
            <w:noWrap/>
            <w:vAlign w:val="bottom"/>
            <w:hideMark/>
          </w:tcPr>
          <w:p w14:paraId="762C599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1,160</w:t>
            </w:r>
          </w:p>
        </w:tc>
        <w:tc>
          <w:tcPr>
            <w:tcW w:w="607" w:type="dxa"/>
            <w:tcBorders>
              <w:top w:val="nil"/>
              <w:left w:val="nil"/>
              <w:bottom w:val="nil"/>
              <w:right w:val="nil"/>
            </w:tcBorders>
            <w:shd w:val="clear" w:color="auto" w:fill="auto"/>
            <w:noWrap/>
            <w:vAlign w:val="bottom"/>
            <w:hideMark/>
          </w:tcPr>
          <w:p w14:paraId="1E74D60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1,160</w:t>
            </w:r>
          </w:p>
        </w:tc>
        <w:tc>
          <w:tcPr>
            <w:tcW w:w="607" w:type="dxa"/>
            <w:tcBorders>
              <w:top w:val="nil"/>
              <w:left w:val="nil"/>
              <w:bottom w:val="nil"/>
              <w:right w:val="nil"/>
            </w:tcBorders>
            <w:shd w:val="clear" w:color="auto" w:fill="auto"/>
            <w:noWrap/>
            <w:vAlign w:val="bottom"/>
            <w:hideMark/>
          </w:tcPr>
          <w:p w14:paraId="0343E05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1,160</w:t>
            </w:r>
          </w:p>
        </w:tc>
        <w:tc>
          <w:tcPr>
            <w:tcW w:w="607" w:type="dxa"/>
            <w:tcBorders>
              <w:top w:val="nil"/>
              <w:left w:val="nil"/>
              <w:bottom w:val="nil"/>
              <w:right w:val="nil"/>
            </w:tcBorders>
            <w:shd w:val="clear" w:color="auto" w:fill="auto"/>
            <w:noWrap/>
            <w:vAlign w:val="bottom"/>
            <w:hideMark/>
          </w:tcPr>
          <w:p w14:paraId="5E01ADD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1,180</w:t>
            </w:r>
          </w:p>
        </w:tc>
        <w:tc>
          <w:tcPr>
            <w:tcW w:w="607" w:type="dxa"/>
            <w:tcBorders>
              <w:top w:val="nil"/>
              <w:left w:val="nil"/>
              <w:bottom w:val="nil"/>
              <w:right w:val="nil"/>
            </w:tcBorders>
            <w:shd w:val="clear" w:color="auto" w:fill="auto"/>
            <w:noWrap/>
            <w:vAlign w:val="bottom"/>
            <w:hideMark/>
          </w:tcPr>
          <w:p w14:paraId="0175E05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1,200</w:t>
            </w:r>
          </w:p>
        </w:tc>
        <w:tc>
          <w:tcPr>
            <w:tcW w:w="607" w:type="dxa"/>
            <w:tcBorders>
              <w:top w:val="nil"/>
              <w:left w:val="nil"/>
              <w:bottom w:val="nil"/>
              <w:right w:val="nil"/>
            </w:tcBorders>
            <w:shd w:val="clear" w:color="auto" w:fill="auto"/>
            <w:noWrap/>
            <w:vAlign w:val="bottom"/>
            <w:hideMark/>
          </w:tcPr>
          <w:p w14:paraId="222CBAB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1,250</w:t>
            </w:r>
          </w:p>
        </w:tc>
        <w:tc>
          <w:tcPr>
            <w:tcW w:w="607" w:type="dxa"/>
            <w:tcBorders>
              <w:top w:val="nil"/>
              <w:left w:val="nil"/>
              <w:bottom w:val="nil"/>
              <w:right w:val="nil"/>
            </w:tcBorders>
            <w:shd w:val="clear" w:color="auto" w:fill="auto"/>
            <w:noWrap/>
            <w:vAlign w:val="bottom"/>
            <w:hideMark/>
          </w:tcPr>
          <w:p w14:paraId="2904703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1,330</w:t>
            </w:r>
          </w:p>
        </w:tc>
        <w:tc>
          <w:tcPr>
            <w:tcW w:w="616" w:type="dxa"/>
            <w:tcBorders>
              <w:top w:val="nil"/>
              <w:left w:val="nil"/>
              <w:bottom w:val="nil"/>
              <w:right w:val="nil"/>
            </w:tcBorders>
            <w:shd w:val="clear" w:color="auto" w:fill="auto"/>
            <w:noWrap/>
            <w:vAlign w:val="bottom"/>
            <w:hideMark/>
          </w:tcPr>
          <w:p w14:paraId="2A5138D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1,370</w:t>
            </w:r>
          </w:p>
        </w:tc>
      </w:tr>
      <w:tr w:rsidR="009E34FE" w:rsidRPr="009E34FE" w14:paraId="630B93DA"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044E0E6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418C47B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Recycled material</w:t>
            </w:r>
          </w:p>
        </w:tc>
        <w:tc>
          <w:tcPr>
            <w:tcW w:w="607" w:type="dxa"/>
            <w:tcBorders>
              <w:top w:val="nil"/>
              <w:left w:val="nil"/>
              <w:bottom w:val="nil"/>
              <w:right w:val="nil"/>
            </w:tcBorders>
            <w:shd w:val="clear" w:color="auto" w:fill="auto"/>
            <w:noWrap/>
            <w:vAlign w:val="bottom"/>
            <w:hideMark/>
          </w:tcPr>
          <w:p w14:paraId="3DA8576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w:t>
            </w:r>
          </w:p>
        </w:tc>
        <w:tc>
          <w:tcPr>
            <w:tcW w:w="607" w:type="dxa"/>
            <w:tcBorders>
              <w:top w:val="nil"/>
              <w:left w:val="nil"/>
              <w:bottom w:val="nil"/>
              <w:right w:val="nil"/>
            </w:tcBorders>
            <w:shd w:val="clear" w:color="auto" w:fill="auto"/>
            <w:noWrap/>
            <w:vAlign w:val="bottom"/>
            <w:hideMark/>
          </w:tcPr>
          <w:p w14:paraId="7E2E5F8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20.0</w:t>
            </w:r>
          </w:p>
        </w:tc>
        <w:tc>
          <w:tcPr>
            <w:tcW w:w="607" w:type="dxa"/>
            <w:tcBorders>
              <w:top w:val="nil"/>
              <w:left w:val="nil"/>
              <w:bottom w:val="nil"/>
              <w:right w:val="nil"/>
            </w:tcBorders>
            <w:shd w:val="clear" w:color="auto" w:fill="auto"/>
            <w:noWrap/>
            <w:vAlign w:val="bottom"/>
            <w:hideMark/>
          </w:tcPr>
          <w:p w14:paraId="541314E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29.0</w:t>
            </w:r>
          </w:p>
        </w:tc>
        <w:tc>
          <w:tcPr>
            <w:tcW w:w="607" w:type="dxa"/>
            <w:tcBorders>
              <w:top w:val="nil"/>
              <w:left w:val="nil"/>
              <w:bottom w:val="nil"/>
              <w:right w:val="nil"/>
            </w:tcBorders>
            <w:shd w:val="clear" w:color="auto" w:fill="auto"/>
            <w:noWrap/>
            <w:vAlign w:val="bottom"/>
            <w:hideMark/>
          </w:tcPr>
          <w:p w14:paraId="7B15ECE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29.0</w:t>
            </w:r>
          </w:p>
        </w:tc>
        <w:tc>
          <w:tcPr>
            <w:tcW w:w="607" w:type="dxa"/>
            <w:tcBorders>
              <w:top w:val="nil"/>
              <w:left w:val="nil"/>
              <w:bottom w:val="nil"/>
              <w:right w:val="nil"/>
            </w:tcBorders>
            <w:shd w:val="clear" w:color="auto" w:fill="auto"/>
            <w:noWrap/>
            <w:vAlign w:val="bottom"/>
            <w:hideMark/>
          </w:tcPr>
          <w:p w14:paraId="132E7E5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26.0</w:t>
            </w:r>
          </w:p>
        </w:tc>
        <w:tc>
          <w:tcPr>
            <w:tcW w:w="607" w:type="dxa"/>
            <w:tcBorders>
              <w:top w:val="nil"/>
              <w:left w:val="nil"/>
              <w:bottom w:val="nil"/>
              <w:right w:val="nil"/>
            </w:tcBorders>
            <w:shd w:val="clear" w:color="auto" w:fill="auto"/>
            <w:noWrap/>
            <w:vAlign w:val="bottom"/>
            <w:hideMark/>
          </w:tcPr>
          <w:p w14:paraId="79B08A9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27.3</w:t>
            </w:r>
          </w:p>
        </w:tc>
        <w:tc>
          <w:tcPr>
            <w:tcW w:w="607" w:type="dxa"/>
            <w:tcBorders>
              <w:top w:val="nil"/>
              <w:left w:val="nil"/>
              <w:bottom w:val="nil"/>
              <w:right w:val="nil"/>
            </w:tcBorders>
            <w:shd w:val="clear" w:color="auto" w:fill="auto"/>
            <w:noWrap/>
            <w:vAlign w:val="bottom"/>
            <w:hideMark/>
          </w:tcPr>
          <w:p w14:paraId="04C2BB2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31.1</w:t>
            </w:r>
          </w:p>
        </w:tc>
        <w:tc>
          <w:tcPr>
            <w:tcW w:w="607" w:type="dxa"/>
            <w:tcBorders>
              <w:top w:val="nil"/>
              <w:left w:val="nil"/>
              <w:bottom w:val="nil"/>
              <w:right w:val="nil"/>
            </w:tcBorders>
            <w:shd w:val="clear" w:color="auto" w:fill="auto"/>
            <w:noWrap/>
            <w:vAlign w:val="bottom"/>
            <w:hideMark/>
          </w:tcPr>
          <w:p w14:paraId="3D925C1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40.6</w:t>
            </w:r>
          </w:p>
        </w:tc>
        <w:tc>
          <w:tcPr>
            <w:tcW w:w="607" w:type="dxa"/>
            <w:tcBorders>
              <w:top w:val="nil"/>
              <w:left w:val="nil"/>
              <w:bottom w:val="nil"/>
              <w:right w:val="nil"/>
            </w:tcBorders>
            <w:shd w:val="clear" w:color="auto" w:fill="auto"/>
            <w:noWrap/>
            <w:vAlign w:val="bottom"/>
            <w:hideMark/>
          </w:tcPr>
          <w:p w14:paraId="32E3126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36.1</w:t>
            </w:r>
          </w:p>
        </w:tc>
        <w:tc>
          <w:tcPr>
            <w:tcW w:w="607" w:type="dxa"/>
            <w:tcBorders>
              <w:top w:val="nil"/>
              <w:left w:val="nil"/>
              <w:bottom w:val="nil"/>
              <w:right w:val="nil"/>
            </w:tcBorders>
            <w:shd w:val="clear" w:color="auto" w:fill="auto"/>
            <w:noWrap/>
            <w:vAlign w:val="bottom"/>
            <w:hideMark/>
          </w:tcPr>
          <w:p w14:paraId="4C44E60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37.2</w:t>
            </w:r>
          </w:p>
        </w:tc>
        <w:tc>
          <w:tcPr>
            <w:tcW w:w="616" w:type="dxa"/>
            <w:tcBorders>
              <w:top w:val="nil"/>
              <w:left w:val="nil"/>
              <w:bottom w:val="nil"/>
              <w:right w:val="nil"/>
            </w:tcBorders>
            <w:shd w:val="clear" w:color="auto" w:fill="auto"/>
            <w:noWrap/>
            <w:vAlign w:val="bottom"/>
            <w:hideMark/>
          </w:tcPr>
          <w:p w14:paraId="0A39B61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43.5</w:t>
            </w:r>
          </w:p>
        </w:tc>
      </w:tr>
      <w:tr w:rsidR="009E34FE" w:rsidRPr="009E34FE" w14:paraId="00691174"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4E3409E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3D6DD35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Consumption, apparent</w:t>
            </w:r>
          </w:p>
        </w:tc>
        <w:tc>
          <w:tcPr>
            <w:tcW w:w="607" w:type="dxa"/>
            <w:tcBorders>
              <w:top w:val="nil"/>
              <w:left w:val="nil"/>
              <w:bottom w:val="nil"/>
              <w:right w:val="nil"/>
            </w:tcBorders>
            <w:shd w:val="clear" w:color="auto" w:fill="auto"/>
            <w:noWrap/>
            <w:vAlign w:val="bottom"/>
            <w:hideMark/>
          </w:tcPr>
          <w:p w14:paraId="39518F5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1,810</w:t>
            </w:r>
          </w:p>
        </w:tc>
        <w:tc>
          <w:tcPr>
            <w:tcW w:w="607" w:type="dxa"/>
            <w:tcBorders>
              <w:top w:val="nil"/>
              <w:left w:val="nil"/>
              <w:bottom w:val="nil"/>
              <w:right w:val="nil"/>
            </w:tcBorders>
            <w:shd w:val="clear" w:color="auto" w:fill="auto"/>
            <w:noWrap/>
            <w:vAlign w:val="bottom"/>
            <w:hideMark/>
          </w:tcPr>
          <w:p w14:paraId="08F3E0A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1,690</w:t>
            </w:r>
          </w:p>
        </w:tc>
        <w:tc>
          <w:tcPr>
            <w:tcW w:w="607" w:type="dxa"/>
            <w:tcBorders>
              <w:top w:val="nil"/>
              <w:left w:val="nil"/>
              <w:bottom w:val="nil"/>
              <w:right w:val="nil"/>
            </w:tcBorders>
            <w:shd w:val="clear" w:color="auto" w:fill="auto"/>
            <w:noWrap/>
            <w:vAlign w:val="bottom"/>
            <w:hideMark/>
          </w:tcPr>
          <w:p w14:paraId="0EFF4D4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1,500</w:t>
            </w:r>
          </w:p>
        </w:tc>
        <w:tc>
          <w:tcPr>
            <w:tcW w:w="607" w:type="dxa"/>
            <w:tcBorders>
              <w:top w:val="nil"/>
              <w:left w:val="nil"/>
              <w:bottom w:val="nil"/>
              <w:right w:val="nil"/>
            </w:tcBorders>
            <w:shd w:val="clear" w:color="auto" w:fill="auto"/>
            <w:noWrap/>
            <w:vAlign w:val="bottom"/>
            <w:hideMark/>
          </w:tcPr>
          <w:p w14:paraId="73445D0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1,200</w:t>
            </w:r>
          </w:p>
        </w:tc>
        <w:tc>
          <w:tcPr>
            <w:tcW w:w="607" w:type="dxa"/>
            <w:tcBorders>
              <w:top w:val="nil"/>
              <w:left w:val="nil"/>
              <w:bottom w:val="nil"/>
              <w:right w:val="nil"/>
            </w:tcBorders>
            <w:shd w:val="clear" w:color="auto" w:fill="auto"/>
            <w:noWrap/>
            <w:vAlign w:val="bottom"/>
            <w:hideMark/>
          </w:tcPr>
          <w:p w14:paraId="20B0E2C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1,200</w:t>
            </w:r>
          </w:p>
        </w:tc>
        <w:tc>
          <w:tcPr>
            <w:tcW w:w="607" w:type="dxa"/>
            <w:tcBorders>
              <w:top w:val="nil"/>
              <w:left w:val="nil"/>
              <w:bottom w:val="nil"/>
              <w:right w:val="nil"/>
            </w:tcBorders>
            <w:shd w:val="clear" w:color="auto" w:fill="auto"/>
            <w:noWrap/>
            <w:vAlign w:val="bottom"/>
            <w:hideMark/>
          </w:tcPr>
          <w:p w14:paraId="3CF7D57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1,200</w:t>
            </w:r>
          </w:p>
        </w:tc>
        <w:tc>
          <w:tcPr>
            <w:tcW w:w="607" w:type="dxa"/>
            <w:tcBorders>
              <w:top w:val="nil"/>
              <w:left w:val="nil"/>
              <w:bottom w:val="nil"/>
              <w:right w:val="nil"/>
            </w:tcBorders>
            <w:shd w:val="clear" w:color="auto" w:fill="auto"/>
            <w:noWrap/>
            <w:vAlign w:val="bottom"/>
            <w:hideMark/>
          </w:tcPr>
          <w:p w14:paraId="0AC4F76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1,200</w:t>
            </w:r>
          </w:p>
        </w:tc>
        <w:tc>
          <w:tcPr>
            <w:tcW w:w="607" w:type="dxa"/>
            <w:tcBorders>
              <w:top w:val="nil"/>
              <w:left w:val="nil"/>
              <w:bottom w:val="nil"/>
              <w:right w:val="nil"/>
            </w:tcBorders>
            <w:shd w:val="clear" w:color="auto" w:fill="auto"/>
            <w:noWrap/>
            <w:vAlign w:val="bottom"/>
            <w:hideMark/>
          </w:tcPr>
          <w:p w14:paraId="41549EC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1,250</w:t>
            </w:r>
          </w:p>
        </w:tc>
        <w:tc>
          <w:tcPr>
            <w:tcW w:w="607" w:type="dxa"/>
            <w:tcBorders>
              <w:top w:val="nil"/>
              <w:left w:val="nil"/>
              <w:bottom w:val="nil"/>
              <w:right w:val="nil"/>
            </w:tcBorders>
            <w:shd w:val="clear" w:color="auto" w:fill="auto"/>
            <w:noWrap/>
            <w:vAlign w:val="bottom"/>
            <w:hideMark/>
          </w:tcPr>
          <w:p w14:paraId="665B5EF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1,310</w:t>
            </w:r>
          </w:p>
        </w:tc>
        <w:tc>
          <w:tcPr>
            <w:tcW w:w="607" w:type="dxa"/>
            <w:tcBorders>
              <w:top w:val="nil"/>
              <w:left w:val="nil"/>
              <w:bottom w:val="nil"/>
              <w:right w:val="nil"/>
            </w:tcBorders>
            <w:shd w:val="clear" w:color="auto" w:fill="auto"/>
            <w:noWrap/>
            <w:vAlign w:val="bottom"/>
            <w:hideMark/>
          </w:tcPr>
          <w:p w14:paraId="5A57893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1,390</w:t>
            </w:r>
          </w:p>
        </w:tc>
        <w:tc>
          <w:tcPr>
            <w:tcW w:w="616" w:type="dxa"/>
            <w:tcBorders>
              <w:top w:val="nil"/>
              <w:left w:val="nil"/>
              <w:bottom w:val="nil"/>
              <w:right w:val="nil"/>
            </w:tcBorders>
            <w:shd w:val="clear" w:color="auto" w:fill="auto"/>
            <w:noWrap/>
            <w:vAlign w:val="bottom"/>
            <w:hideMark/>
          </w:tcPr>
          <w:p w14:paraId="6B38E2F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1,430</w:t>
            </w:r>
          </w:p>
        </w:tc>
      </w:tr>
      <w:tr w:rsidR="009E34FE" w:rsidRPr="009E34FE" w14:paraId="53DBC841" w14:textId="77777777" w:rsidTr="009E34FE">
        <w:trPr>
          <w:trHeight w:val="26"/>
          <w:jc w:val="center"/>
        </w:trPr>
        <w:tc>
          <w:tcPr>
            <w:tcW w:w="255" w:type="dxa"/>
            <w:tcBorders>
              <w:top w:val="nil"/>
              <w:left w:val="nil"/>
              <w:bottom w:val="nil"/>
              <w:right w:val="nil"/>
            </w:tcBorders>
            <w:shd w:val="clear" w:color="auto" w:fill="auto"/>
            <w:noWrap/>
            <w:vAlign w:val="bottom"/>
            <w:hideMark/>
          </w:tcPr>
          <w:p w14:paraId="59CF474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single" w:sz="4" w:space="0" w:color="auto"/>
              <w:right w:val="nil"/>
            </w:tcBorders>
            <w:shd w:val="clear" w:color="auto" w:fill="auto"/>
            <w:vAlign w:val="bottom"/>
            <w:hideMark/>
          </w:tcPr>
          <w:p w14:paraId="7FEDB10D"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Net import reliance as % of consumption</w:t>
            </w:r>
          </w:p>
        </w:tc>
        <w:tc>
          <w:tcPr>
            <w:tcW w:w="607" w:type="dxa"/>
            <w:tcBorders>
              <w:top w:val="nil"/>
              <w:left w:val="nil"/>
              <w:bottom w:val="nil"/>
              <w:right w:val="nil"/>
            </w:tcBorders>
            <w:shd w:val="clear" w:color="auto" w:fill="auto"/>
            <w:noWrap/>
            <w:vAlign w:val="bottom"/>
            <w:hideMark/>
          </w:tcPr>
          <w:p w14:paraId="5CAE348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22224C8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18DDB77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0CD36E4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263B4A4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4B9E4D0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12FD01D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0F3BA2B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c>
          <w:tcPr>
            <w:tcW w:w="607" w:type="dxa"/>
            <w:tcBorders>
              <w:top w:val="nil"/>
              <w:left w:val="nil"/>
              <w:bottom w:val="nil"/>
              <w:right w:val="nil"/>
            </w:tcBorders>
            <w:shd w:val="clear" w:color="auto" w:fill="auto"/>
            <w:noWrap/>
            <w:vAlign w:val="bottom"/>
            <w:hideMark/>
          </w:tcPr>
          <w:p w14:paraId="7DDD2C2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w:t>
            </w:r>
          </w:p>
        </w:tc>
        <w:tc>
          <w:tcPr>
            <w:tcW w:w="607" w:type="dxa"/>
            <w:tcBorders>
              <w:top w:val="nil"/>
              <w:left w:val="nil"/>
              <w:bottom w:val="nil"/>
              <w:right w:val="nil"/>
            </w:tcBorders>
            <w:shd w:val="clear" w:color="auto" w:fill="auto"/>
            <w:noWrap/>
            <w:vAlign w:val="bottom"/>
            <w:hideMark/>
          </w:tcPr>
          <w:p w14:paraId="28F2C0F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w:t>
            </w:r>
          </w:p>
        </w:tc>
        <w:tc>
          <w:tcPr>
            <w:tcW w:w="616" w:type="dxa"/>
            <w:tcBorders>
              <w:top w:val="nil"/>
              <w:left w:val="nil"/>
              <w:bottom w:val="nil"/>
              <w:right w:val="nil"/>
            </w:tcBorders>
            <w:shd w:val="clear" w:color="auto" w:fill="auto"/>
            <w:noWrap/>
            <w:vAlign w:val="bottom"/>
            <w:hideMark/>
          </w:tcPr>
          <w:p w14:paraId="03E06DA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w:t>
            </w:r>
          </w:p>
        </w:tc>
      </w:tr>
      <w:tr w:rsidR="009E34FE" w:rsidRPr="009E34FE" w14:paraId="63C2BD21" w14:textId="77777777" w:rsidTr="009E34FE">
        <w:trPr>
          <w:trHeight w:val="12"/>
          <w:jc w:val="center"/>
        </w:trPr>
        <w:tc>
          <w:tcPr>
            <w:tcW w:w="2390" w:type="dxa"/>
            <w:gridSpan w:val="2"/>
            <w:tcBorders>
              <w:top w:val="nil"/>
              <w:left w:val="nil"/>
              <w:bottom w:val="nil"/>
              <w:right w:val="nil"/>
            </w:tcBorders>
            <w:shd w:val="clear" w:color="auto" w:fill="auto"/>
            <w:noWrap/>
            <w:vAlign w:val="bottom"/>
            <w:hideMark/>
          </w:tcPr>
          <w:p w14:paraId="319E59FA"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Cement:</w:t>
            </w:r>
          </w:p>
        </w:tc>
        <w:tc>
          <w:tcPr>
            <w:tcW w:w="607" w:type="dxa"/>
            <w:tcBorders>
              <w:top w:val="nil"/>
              <w:left w:val="nil"/>
              <w:bottom w:val="nil"/>
              <w:right w:val="nil"/>
            </w:tcBorders>
            <w:shd w:val="clear" w:color="auto" w:fill="auto"/>
            <w:noWrap/>
            <w:vAlign w:val="bottom"/>
            <w:hideMark/>
          </w:tcPr>
          <w:p w14:paraId="22EEA90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8D7703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BFA00A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0F79908"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5B6684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1CB314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B2D582A"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759C1D0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11239E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34370B0"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16" w:type="dxa"/>
            <w:tcBorders>
              <w:top w:val="nil"/>
              <w:left w:val="nil"/>
              <w:bottom w:val="nil"/>
              <w:right w:val="nil"/>
            </w:tcBorders>
            <w:shd w:val="clear" w:color="auto" w:fill="auto"/>
            <w:noWrap/>
            <w:vAlign w:val="bottom"/>
            <w:hideMark/>
          </w:tcPr>
          <w:p w14:paraId="3D46E4C2"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r>
      <w:tr w:rsidR="009E34FE" w:rsidRPr="009E34FE" w14:paraId="5B8762C1"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40DE8AA2"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3479350E"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Hydraulic cement production</w:t>
            </w:r>
          </w:p>
        </w:tc>
        <w:tc>
          <w:tcPr>
            <w:tcW w:w="607" w:type="dxa"/>
            <w:tcBorders>
              <w:top w:val="nil"/>
              <w:left w:val="nil"/>
              <w:bottom w:val="nil"/>
              <w:right w:val="nil"/>
            </w:tcBorders>
            <w:shd w:val="clear" w:color="auto" w:fill="auto"/>
            <w:noWrap/>
            <w:vAlign w:val="bottom"/>
            <w:hideMark/>
          </w:tcPr>
          <w:p w14:paraId="28F5298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99.3</w:t>
            </w:r>
          </w:p>
        </w:tc>
        <w:tc>
          <w:tcPr>
            <w:tcW w:w="607" w:type="dxa"/>
            <w:tcBorders>
              <w:top w:val="nil"/>
              <w:left w:val="nil"/>
              <w:bottom w:val="nil"/>
              <w:right w:val="nil"/>
            </w:tcBorders>
            <w:shd w:val="clear" w:color="auto" w:fill="auto"/>
            <w:noWrap/>
            <w:vAlign w:val="bottom"/>
            <w:hideMark/>
          </w:tcPr>
          <w:p w14:paraId="60464EB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98.2</w:t>
            </w:r>
          </w:p>
        </w:tc>
        <w:tc>
          <w:tcPr>
            <w:tcW w:w="607" w:type="dxa"/>
            <w:tcBorders>
              <w:top w:val="nil"/>
              <w:left w:val="nil"/>
              <w:bottom w:val="nil"/>
              <w:right w:val="nil"/>
            </w:tcBorders>
            <w:shd w:val="clear" w:color="auto" w:fill="auto"/>
            <w:noWrap/>
            <w:vAlign w:val="bottom"/>
            <w:hideMark/>
          </w:tcPr>
          <w:p w14:paraId="0447CC2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95.5</w:t>
            </w:r>
          </w:p>
        </w:tc>
        <w:tc>
          <w:tcPr>
            <w:tcW w:w="607" w:type="dxa"/>
            <w:tcBorders>
              <w:top w:val="nil"/>
              <w:left w:val="nil"/>
              <w:bottom w:val="nil"/>
              <w:right w:val="nil"/>
            </w:tcBorders>
            <w:shd w:val="clear" w:color="auto" w:fill="auto"/>
            <w:noWrap/>
            <w:vAlign w:val="bottom"/>
            <w:hideMark/>
          </w:tcPr>
          <w:p w14:paraId="516FDB0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86.3</w:t>
            </w:r>
          </w:p>
        </w:tc>
        <w:tc>
          <w:tcPr>
            <w:tcW w:w="607" w:type="dxa"/>
            <w:tcBorders>
              <w:top w:val="nil"/>
              <w:left w:val="nil"/>
              <w:bottom w:val="nil"/>
              <w:right w:val="nil"/>
            </w:tcBorders>
            <w:shd w:val="clear" w:color="auto" w:fill="auto"/>
            <w:noWrap/>
            <w:vAlign w:val="bottom"/>
            <w:hideMark/>
          </w:tcPr>
          <w:p w14:paraId="4B331DE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63.9</w:t>
            </w:r>
          </w:p>
        </w:tc>
        <w:tc>
          <w:tcPr>
            <w:tcW w:w="607" w:type="dxa"/>
            <w:tcBorders>
              <w:top w:val="nil"/>
              <w:left w:val="nil"/>
              <w:bottom w:val="nil"/>
              <w:right w:val="nil"/>
            </w:tcBorders>
            <w:shd w:val="clear" w:color="auto" w:fill="auto"/>
            <w:noWrap/>
            <w:vAlign w:val="bottom"/>
            <w:hideMark/>
          </w:tcPr>
          <w:p w14:paraId="030EBF6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66.4</w:t>
            </w:r>
          </w:p>
        </w:tc>
        <w:tc>
          <w:tcPr>
            <w:tcW w:w="607" w:type="dxa"/>
            <w:tcBorders>
              <w:top w:val="nil"/>
              <w:left w:val="nil"/>
              <w:bottom w:val="nil"/>
              <w:right w:val="nil"/>
            </w:tcBorders>
            <w:shd w:val="clear" w:color="auto" w:fill="auto"/>
            <w:noWrap/>
            <w:vAlign w:val="bottom"/>
            <w:hideMark/>
          </w:tcPr>
          <w:p w14:paraId="67D254E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67.9</w:t>
            </w:r>
          </w:p>
        </w:tc>
        <w:tc>
          <w:tcPr>
            <w:tcW w:w="607" w:type="dxa"/>
            <w:tcBorders>
              <w:top w:val="nil"/>
              <w:left w:val="nil"/>
              <w:bottom w:val="nil"/>
              <w:right w:val="nil"/>
            </w:tcBorders>
            <w:shd w:val="clear" w:color="auto" w:fill="auto"/>
            <w:noWrap/>
            <w:vAlign w:val="bottom"/>
            <w:hideMark/>
          </w:tcPr>
          <w:p w14:paraId="0B10AE8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74.2</w:t>
            </w:r>
          </w:p>
        </w:tc>
        <w:tc>
          <w:tcPr>
            <w:tcW w:w="607" w:type="dxa"/>
            <w:tcBorders>
              <w:top w:val="nil"/>
              <w:left w:val="nil"/>
              <w:bottom w:val="nil"/>
              <w:right w:val="nil"/>
            </w:tcBorders>
            <w:shd w:val="clear" w:color="auto" w:fill="auto"/>
            <w:noWrap/>
            <w:vAlign w:val="bottom"/>
            <w:hideMark/>
          </w:tcPr>
          <w:p w14:paraId="1A04B59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76.8</w:t>
            </w:r>
          </w:p>
        </w:tc>
        <w:tc>
          <w:tcPr>
            <w:tcW w:w="607" w:type="dxa"/>
            <w:tcBorders>
              <w:top w:val="nil"/>
              <w:left w:val="nil"/>
              <w:bottom w:val="nil"/>
              <w:right w:val="nil"/>
            </w:tcBorders>
            <w:shd w:val="clear" w:color="auto" w:fill="auto"/>
            <w:noWrap/>
            <w:vAlign w:val="bottom"/>
            <w:hideMark/>
          </w:tcPr>
          <w:p w14:paraId="41B6D99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83.7</w:t>
            </w:r>
          </w:p>
        </w:tc>
        <w:tc>
          <w:tcPr>
            <w:tcW w:w="616" w:type="dxa"/>
            <w:tcBorders>
              <w:top w:val="nil"/>
              <w:left w:val="nil"/>
              <w:bottom w:val="nil"/>
              <w:right w:val="nil"/>
            </w:tcBorders>
            <w:shd w:val="clear" w:color="auto" w:fill="auto"/>
            <w:noWrap/>
            <w:vAlign w:val="bottom"/>
            <w:hideMark/>
          </w:tcPr>
          <w:p w14:paraId="1EC736A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85.4</w:t>
            </w:r>
          </w:p>
        </w:tc>
      </w:tr>
      <w:tr w:rsidR="009E34FE" w:rsidRPr="009E34FE" w14:paraId="047988B8"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73E45CA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1AC36B01"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Clinker production</w:t>
            </w:r>
          </w:p>
        </w:tc>
        <w:tc>
          <w:tcPr>
            <w:tcW w:w="607" w:type="dxa"/>
            <w:tcBorders>
              <w:top w:val="nil"/>
              <w:left w:val="nil"/>
              <w:bottom w:val="nil"/>
              <w:right w:val="nil"/>
            </w:tcBorders>
            <w:shd w:val="clear" w:color="auto" w:fill="auto"/>
            <w:noWrap/>
            <w:vAlign w:val="bottom"/>
            <w:hideMark/>
          </w:tcPr>
          <w:p w14:paraId="55ECD46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87.4</w:t>
            </w:r>
          </w:p>
        </w:tc>
        <w:tc>
          <w:tcPr>
            <w:tcW w:w="607" w:type="dxa"/>
            <w:tcBorders>
              <w:top w:val="nil"/>
              <w:left w:val="nil"/>
              <w:bottom w:val="nil"/>
              <w:right w:val="nil"/>
            </w:tcBorders>
            <w:shd w:val="clear" w:color="auto" w:fill="auto"/>
            <w:noWrap/>
            <w:vAlign w:val="bottom"/>
            <w:hideMark/>
          </w:tcPr>
          <w:p w14:paraId="799DB22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86.1</w:t>
            </w:r>
          </w:p>
        </w:tc>
        <w:tc>
          <w:tcPr>
            <w:tcW w:w="607" w:type="dxa"/>
            <w:tcBorders>
              <w:top w:val="nil"/>
              <w:left w:val="nil"/>
              <w:bottom w:val="nil"/>
              <w:right w:val="nil"/>
            </w:tcBorders>
            <w:shd w:val="clear" w:color="auto" w:fill="auto"/>
            <w:noWrap/>
            <w:vAlign w:val="bottom"/>
            <w:hideMark/>
          </w:tcPr>
          <w:p w14:paraId="31C9A07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78.4</w:t>
            </w:r>
          </w:p>
        </w:tc>
        <w:tc>
          <w:tcPr>
            <w:tcW w:w="607" w:type="dxa"/>
            <w:tcBorders>
              <w:top w:val="nil"/>
              <w:left w:val="nil"/>
              <w:bottom w:val="nil"/>
              <w:right w:val="nil"/>
            </w:tcBorders>
            <w:shd w:val="clear" w:color="auto" w:fill="auto"/>
            <w:noWrap/>
            <w:vAlign w:val="bottom"/>
            <w:hideMark/>
          </w:tcPr>
          <w:p w14:paraId="1F1D1A7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56.1</w:t>
            </w:r>
          </w:p>
        </w:tc>
        <w:tc>
          <w:tcPr>
            <w:tcW w:w="607" w:type="dxa"/>
            <w:tcBorders>
              <w:top w:val="nil"/>
              <w:left w:val="nil"/>
              <w:bottom w:val="nil"/>
              <w:right w:val="nil"/>
            </w:tcBorders>
            <w:shd w:val="clear" w:color="auto" w:fill="auto"/>
            <w:noWrap/>
            <w:vAlign w:val="bottom"/>
            <w:hideMark/>
          </w:tcPr>
          <w:p w14:paraId="3A8E2EE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59.8</w:t>
            </w:r>
          </w:p>
        </w:tc>
        <w:tc>
          <w:tcPr>
            <w:tcW w:w="607" w:type="dxa"/>
            <w:tcBorders>
              <w:top w:val="nil"/>
              <w:left w:val="nil"/>
              <w:bottom w:val="nil"/>
              <w:right w:val="nil"/>
            </w:tcBorders>
            <w:shd w:val="clear" w:color="auto" w:fill="auto"/>
            <w:noWrap/>
            <w:vAlign w:val="bottom"/>
            <w:hideMark/>
          </w:tcPr>
          <w:p w14:paraId="7BA98F8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61.2</w:t>
            </w:r>
          </w:p>
        </w:tc>
        <w:tc>
          <w:tcPr>
            <w:tcW w:w="607" w:type="dxa"/>
            <w:tcBorders>
              <w:top w:val="nil"/>
              <w:left w:val="nil"/>
              <w:bottom w:val="nil"/>
              <w:right w:val="nil"/>
            </w:tcBorders>
            <w:shd w:val="clear" w:color="auto" w:fill="auto"/>
            <w:noWrap/>
            <w:vAlign w:val="bottom"/>
            <w:hideMark/>
          </w:tcPr>
          <w:p w14:paraId="32F34E4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67.2</w:t>
            </w:r>
          </w:p>
        </w:tc>
        <w:tc>
          <w:tcPr>
            <w:tcW w:w="607" w:type="dxa"/>
            <w:tcBorders>
              <w:top w:val="nil"/>
              <w:left w:val="nil"/>
              <w:bottom w:val="nil"/>
              <w:right w:val="nil"/>
            </w:tcBorders>
            <w:shd w:val="clear" w:color="auto" w:fill="auto"/>
            <w:noWrap/>
            <w:vAlign w:val="bottom"/>
            <w:hideMark/>
          </w:tcPr>
          <w:p w14:paraId="3B0F1B4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69.4</w:t>
            </w:r>
          </w:p>
        </w:tc>
        <w:tc>
          <w:tcPr>
            <w:tcW w:w="607" w:type="dxa"/>
            <w:tcBorders>
              <w:top w:val="nil"/>
              <w:left w:val="nil"/>
              <w:bottom w:val="nil"/>
              <w:right w:val="nil"/>
            </w:tcBorders>
            <w:shd w:val="clear" w:color="auto" w:fill="auto"/>
            <w:noWrap/>
            <w:vAlign w:val="bottom"/>
            <w:hideMark/>
          </w:tcPr>
          <w:p w14:paraId="4D95C3E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74.4</w:t>
            </w:r>
          </w:p>
        </w:tc>
        <w:tc>
          <w:tcPr>
            <w:tcW w:w="607" w:type="dxa"/>
            <w:tcBorders>
              <w:top w:val="nil"/>
              <w:left w:val="nil"/>
              <w:bottom w:val="nil"/>
              <w:right w:val="nil"/>
            </w:tcBorders>
            <w:shd w:val="clear" w:color="auto" w:fill="auto"/>
            <w:noWrap/>
            <w:vAlign w:val="bottom"/>
            <w:hideMark/>
          </w:tcPr>
          <w:p w14:paraId="0588C08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76.0</w:t>
            </w:r>
          </w:p>
        </w:tc>
        <w:tc>
          <w:tcPr>
            <w:tcW w:w="616" w:type="dxa"/>
            <w:tcBorders>
              <w:top w:val="nil"/>
              <w:left w:val="nil"/>
              <w:bottom w:val="nil"/>
              <w:right w:val="nil"/>
            </w:tcBorders>
            <w:shd w:val="clear" w:color="auto" w:fill="auto"/>
            <w:noWrap/>
            <w:vAlign w:val="bottom"/>
            <w:hideMark/>
          </w:tcPr>
          <w:p w14:paraId="6A4F6F9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77.0</w:t>
            </w:r>
          </w:p>
        </w:tc>
      </w:tr>
      <w:tr w:rsidR="009E34FE" w:rsidRPr="009E34FE" w14:paraId="3D4C0795" w14:textId="77777777" w:rsidTr="009E34FE">
        <w:trPr>
          <w:trHeight w:val="12"/>
          <w:jc w:val="center"/>
        </w:trPr>
        <w:tc>
          <w:tcPr>
            <w:tcW w:w="255" w:type="dxa"/>
            <w:tcBorders>
              <w:top w:val="nil"/>
              <w:left w:val="nil"/>
              <w:bottom w:val="nil"/>
              <w:right w:val="nil"/>
            </w:tcBorders>
            <w:shd w:val="clear" w:color="auto" w:fill="auto"/>
            <w:noWrap/>
            <w:vAlign w:val="bottom"/>
            <w:hideMark/>
          </w:tcPr>
          <w:p w14:paraId="457EB48A"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28E0E6BB"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Consumption, apparent</w:t>
            </w:r>
          </w:p>
        </w:tc>
        <w:tc>
          <w:tcPr>
            <w:tcW w:w="607" w:type="dxa"/>
            <w:tcBorders>
              <w:top w:val="nil"/>
              <w:left w:val="nil"/>
              <w:bottom w:val="nil"/>
              <w:right w:val="nil"/>
            </w:tcBorders>
            <w:shd w:val="clear" w:color="auto" w:fill="auto"/>
            <w:noWrap/>
            <w:vAlign w:val="bottom"/>
            <w:hideMark/>
          </w:tcPr>
          <w:p w14:paraId="57004A2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128</w:t>
            </w:r>
          </w:p>
        </w:tc>
        <w:tc>
          <w:tcPr>
            <w:tcW w:w="607" w:type="dxa"/>
            <w:tcBorders>
              <w:top w:val="nil"/>
              <w:left w:val="nil"/>
              <w:bottom w:val="nil"/>
              <w:right w:val="nil"/>
            </w:tcBorders>
            <w:shd w:val="clear" w:color="auto" w:fill="auto"/>
            <w:noWrap/>
            <w:vAlign w:val="bottom"/>
            <w:hideMark/>
          </w:tcPr>
          <w:p w14:paraId="412AB40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128</w:t>
            </w:r>
          </w:p>
        </w:tc>
        <w:tc>
          <w:tcPr>
            <w:tcW w:w="607" w:type="dxa"/>
            <w:tcBorders>
              <w:top w:val="nil"/>
              <w:left w:val="nil"/>
              <w:bottom w:val="nil"/>
              <w:right w:val="nil"/>
            </w:tcBorders>
            <w:shd w:val="clear" w:color="auto" w:fill="auto"/>
            <w:noWrap/>
            <w:vAlign w:val="bottom"/>
            <w:hideMark/>
          </w:tcPr>
          <w:p w14:paraId="1E49714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116</w:t>
            </w:r>
          </w:p>
        </w:tc>
        <w:tc>
          <w:tcPr>
            <w:tcW w:w="607" w:type="dxa"/>
            <w:tcBorders>
              <w:top w:val="nil"/>
              <w:left w:val="nil"/>
              <w:bottom w:val="nil"/>
              <w:right w:val="nil"/>
            </w:tcBorders>
            <w:shd w:val="clear" w:color="auto" w:fill="auto"/>
            <w:noWrap/>
            <w:vAlign w:val="bottom"/>
            <w:hideMark/>
          </w:tcPr>
          <w:p w14:paraId="028B402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96.8</w:t>
            </w:r>
          </w:p>
        </w:tc>
        <w:tc>
          <w:tcPr>
            <w:tcW w:w="607" w:type="dxa"/>
            <w:tcBorders>
              <w:top w:val="nil"/>
              <w:left w:val="nil"/>
              <w:bottom w:val="nil"/>
              <w:right w:val="nil"/>
            </w:tcBorders>
            <w:shd w:val="clear" w:color="auto" w:fill="auto"/>
            <w:noWrap/>
            <w:vAlign w:val="bottom"/>
            <w:hideMark/>
          </w:tcPr>
          <w:p w14:paraId="3328FB13"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71.5</w:t>
            </w:r>
          </w:p>
        </w:tc>
        <w:tc>
          <w:tcPr>
            <w:tcW w:w="607" w:type="dxa"/>
            <w:tcBorders>
              <w:top w:val="nil"/>
              <w:left w:val="nil"/>
              <w:bottom w:val="nil"/>
              <w:right w:val="nil"/>
            </w:tcBorders>
            <w:shd w:val="clear" w:color="auto" w:fill="auto"/>
            <w:noWrap/>
            <w:vAlign w:val="bottom"/>
            <w:hideMark/>
          </w:tcPr>
          <w:p w14:paraId="4634D8C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71.2</w:t>
            </w:r>
          </w:p>
        </w:tc>
        <w:tc>
          <w:tcPr>
            <w:tcW w:w="607" w:type="dxa"/>
            <w:tcBorders>
              <w:top w:val="nil"/>
              <w:left w:val="nil"/>
              <w:bottom w:val="nil"/>
              <w:right w:val="nil"/>
            </w:tcBorders>
            <w:shd w:val="clear" w:color="auto" w:fill="auto"/>
            <w:noWrap/>
            <w:vAlign w:val="bottom"/>
            <w:hideMark/>
          </w:tcPr>
          <w:p w14:paraId="746C2E3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72.2</w:t>
            </w:r>
          </w:p>
        </w:tc>
        <w:tc>
          <w:tcPr>
            <w:tcW w:w="607" w:type="dxa"/>
            <w:tcBorders>
              <w:top w:val="nil"/>
              <w:left w:val="nil"/>
              <w:bottom w:val="nil"/>
              <w:right w:val="nil"/>
            </w:tcBorders>
            <w:shd w:val="clear" w:color="auto" w:fill="auto"/>
            <w:noWrap/>
            <w:vAlign w:val="bottom"/>
            <w:hideMark/>
          </w:tcPr>
          <w:p w14:paraId="7535E67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77.9</w:t>
            </w:r>
          </w:p>
        </w:tc>
        <w:tc>
          <w:tcPr>
            <w:tcW w:w="607" w:type="dxa"/>
            <w:tcBorders>
              <w:top w:val="nil"/>
              <w:left w:val="nil"/>
              <w:bottom w:val="nil"/>
              <w:right w:val="nil"/>
            </w:tcBorders>
            <w:shd w:val="clear" w:color="auto" w:fill="auto"/>
            <w:noWrap/>
            <w:vAlign w:val="bottom"/>
            <w:hideMark/>
          </w:tcPr>
          <w:p w14:paraId="2FD7786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81.8</w:t>
            </w:r>
          </w:p>
        </w:tc>
        <w:tc>
          <w:tcPr>
            <w:tcW w:w="607" w:type="dxa"/>
            <w:tcBorders>
              <w:top w:val="nil"/>
              <w:left w:val="nil"/>
              <w:bottom w:val="nil"/>
              <w:right w:val="nil"/>
            </w:tcBorders>
            <w:shd w:val="clear" w:color="auto" w:fill="auto"/>
            <w:noWrap/>
            <w:vAlign w:val="bottom"/>
            <w:hideMark/>
          </w:tcPr>
          <w:p w14:paraId="783346D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93.3</w:t>
            </w:r>
          </w:p>
        </w:tc>
        <w:tc>
          <w:tcPr>
            <w:tcW w:w="616" w:type="dxa"/>
            <w:tcBorders>
              <w:top w:val="nil"/>
              <w:left w:val="nil"/>
              <w:bottom w:val="nil"/>
              <w:right w:val="nil"/>
            </w:tcBorders>
            <w:shd w:val="clear" w:color="auto" w:fill="auto"/>
            <w:noWrap/>
            <w:vAlign w:val="bottom"/>
            <w:hideMark/>
          </w:tcPr>
          <w:p w14:paraId="6232434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96.2</w:t>
            </w:r>
          </w:p>
        </w:tc>
      </w:tr>
      <w:tr w:rsidR="009E34FE" w:rsidRPr="009E34FE" w14:paraId="4060FB83" w14:textId="77777777" w:rsidTr="009E34FE">
        <w:trPr>
          <w:trHeight w:val="26"/>
          <w:jc w:val="center"/>
        </w:trPr>
        <w:tc>
          <w:tcPr>
            <w:tcW w:w="255" w:type="dxa"/>
            <w:tcBorders>
              <w:top w:val="nil"/>
              <w:left w:val="nil"/>
              <w:bottom w:val="single" w:sz="4" w:space="0" w:color="auto"/>
              <w:right w:val="nil"/>
            </w:tcBorders>
            <w:shd w:val="clear" w:color="auto" w:fill="auto"/>
            <w:noWrap/>
            <w:vAlign w:val="bottom"/>
            <w:hideMark/>
          </w:tcPr>
          <w:p w14:paraId="28CBC49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 </w:t>
            </w:r>
          </w:p>
        </w:tc>
        <w:tc>
          <w:tcPr>
            <w:tcW w:w="2134" w:type="dxa"/>
            <w:tcBorders>
              <w:top w:val="nil"/>
              <w:left w:val="nil"/>
              <w:bottom w:val="single" w:sz="4" w:space="0" w:color="auto"/>
              <w:right w:val="nil"/>
            </w:tcBorders>
            <w:shd w:val="clear" w:color="auto" w:fill="auto"/>
            <w:vAlign w:val="bottom"/>
            <w:hideMark/>
          </w:tcPr>
          <w:p w14:paraId="2C415FB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Net import reliance as % of consumption</w:t>
            </w:r>
          </w:p>
        </w:tc>
        <w:tc>
          <w:tcPr>
            <w:tcW w:w="607" w:type="dxa"/>
            <w:tcBorders>
              <w:top w:val="nil"/>
              <w:left w:val="nil"/>
              <w:bottom w:val="single" w:sz="4" w:space="0" w:color="auto"/>
              <w:right w:val="nil"/>
            </w:tcBorders>
            <w:shd w:val="clear" w:color="auto" w:fill="auto"/>
            <w:noWrap/>
            <w:vAlign w:val="bottom"/>
            <w:hideMark/>
          </w:tcPr>
          <w:p w14:paraId="6301FCA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25</w:t>
            </w:r>
          </w:p>
        </w:tc>
        <w:tc>
          <w:tcPr>
            <w:tcW w:w="607" w:type="dxa"/>
            <w:tcBorders>
              <w:top w:val="nil"/>
              <w:left w:val="nil"/>
              <w:bottom w:val="single" w:sz="4" w:space="0" w:color="auto"/>
              <w:right w:val="nil"/>
            </w:tcBorders>
            <w:shd w:val="clear" w:color="auto" w:fill="auto"/>
            <w:noWrap/>
            <w:vAlign w:val="bottom"/>
            <w:hideMark/>
          </w:tcPr>
          <w:p w14:paraId="5E4627DF"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27</w:t>
            </w:r>
          </w:p>
        </w:tc>
        <w:tc>
          <w:tcPr>
            <w:tcW w:w="607" w:type="dxa"/>
            <w:tcBorders>
              <w:top w:val="nil"/>
              <w:left w:val="nil"/>
              <w:bottom w:val="single" w:sz="4" w:space="0" w:color="auto"/>
              <w:right w:val="nil"/>
            </w:tcBorders>
            <w:shd w:val="clear" w:color="auto" w:fill="auto"/>
            <w:noWrap/>
            <w:vAlign w:val="bottom"/>
            <w:hideMark/>
          </w:tcPr>
          <w:p w14:paraId="44747F5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19</w:t>
            </w:r>
          </w:p>
        </w:tc>
        <w:tc>
          <w:tcPr>
            <w:tcW w:w="607" w:type="dxa"/>
            <w:tcBorders>
              <w:top w:val="nil"/>
              <w:left w:val="nil"/>
              <w:bottom w:val="single" w:sz="4" w:space="0" w:color="auto"/>
              <w:right w:val="nil"/>
            </w:tcBorders>
            <w:shd w:val="clear" w:color="auto" w:fill="auto"/>
            <w:noWrap/>
            <w:vAlign w:val="bottom"/>
            <w:hideMark/>
          </w:tcPr>
          <w:p w14:paraId="4446D51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w:t>
            </w:r>
          </w:p>
        </w:tc>
        <w:tc>
          <w:tcPr>
            <w:tcW w:w="607" w:type="dxa"/>
            <w:tcBorders>
              <w:top w:val="nil"/>
              <w:left w:val="nil"/>
              <w:bottom w:val="single" w:sz="4" w:space="0" w:color="auto"/>
              <w:right w:val="nil"/>
            </w:tcBorders>
            <w:shd w:val="clear" w:color="auto" w:fill="auto"/>
            <w:noWrap/>
            <w:vAlign w:val="bottom"/>
            <w:hideMark/>
          </w:tcPr>
          <w:p w14:paraId="6C69F06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w:t>
            </w:r>
          </w:p>
        </w:tc>
        <w:tc>
          <w:tcPr>
            <w:tcW w:w="607" w:type="dxa"/>
            <w:tcBorders>
              <w:top w:val="nil"/>
              <w:left w:val="nil"/>
              <w:bottom w:val="single" w:sz="4" w:space="0" w:color="auto"/>
              <w:right w:val="nil"/>
            </w:tcBorders>
            <w:shd w:val="clear" w:color="auto" w:fill="auto"/>
            <w:noWrap/>
            <w:vAlign w:val="bottom"/>
            <w:hideMark/>
          </w:tcPr>
          <w:p w14:paraId="373894D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w:t>
            </w:r>
          </w:p>
        </w:tc>
        <w:tc>
          <w:tcPr>
            <w:tcW w:w="607" w:type="dxa"/>
            <w:tcBorders>
              <w:top w:val="nil"/>
              <w:left w:val="nil"/>
              <w:bottom w:val="single" w:sz="4" w:space="0" w:color="auto"/>
              <w:right w:val="nil"/>
            </w:tcBorders>
            <w:shd w:val="clear" w:color="auto" w:fill="auto"/>
            <w:noWrap/>
            <w:vAlign w:val="bottom"/>
            <w:hideMark/>
          </w:tcPr>
          <w:p w14:paraId="10B27B2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w:t>
            </w:r>
          </w:p>
        </w:tc>
        <w:tc>
          <w:tcPr>
            <w:tcW w:w="607" w:type="dxa"/>
            <w:tcBorders>
              <w:top w:val="nil"/>
              <w:left w:val="nil"/>
              <w:bottom w:val="single" w:sz="4" w:space="0" w:color="auto"/>
              <w:right w:val="nil"/>
            </w:tcBorders>
            <w:shd w:val="clear" w:color="auto" w:fill="auto"/>
            <w:noWrap/>
            <w:vAlign w:val="bottom"/>
            <w:hideMark/>
          </w:tcPr>
          <w:p w14:paraId="2A2A935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w:t>
            </w:r>
          </w:p>
        </w:tc>
        <w:tc>
          <w:tcPr>
            <w:tcW w:w="607" w:type="dxa"/>
            <w:tcBorders>
              <w:top w:val="nil"/>
              <w:left w:val="nil"/>
              <w:bottom w:val="single" w:sz="4" w:space="0" w:color="auto"/>
              <w:right w:val="nil"/>
            </w:tcBorders>
            <w:shd w:val="clear" w:color="auto" w:fill="auto"/>
            <w:noWrap/>
            <w:vAlign w:val="bottom"/>
            <w:hideMark/>
          </w:tcPr>
          <w:p w14:paraId="3E62DE6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w:t>
            </w:r>
          </w:p>
        </w:tc>
        <w:tc>
          <w:tcPr>
            <w:tcW w:w="607" w:type="dxa"/>
            <w:tcBorders>
              <w:top w:val="nil"/>
              <w:left w:val="nil"/>
              <w:bottom w:val="single" w:sz="4" w:space="0" w:color="auto"/>
              <w:right w:val="nil"/>
            </w:tcBorders>
            <w:shd w:val="clear" w:color="auto" w:fill="auto"/>
            <w:noWrap/>
            <w:vAlign w:val="bottom"/>
            <w:hideMark/>
          </w:tcPr>
          <w:p w14:paraId="71FAC39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w:t>
            </w:r>
          </w:p>
        </w:tc>
        <w:tc>
          <w:tcPr>
            <w:tcW w:w="616" w:type="dxa"/>
            <w:tcBorders>
              <w:top w:val="nil"/>
              <w:left w:val="nil"/>
              <w:bottom w:val="single" w:sz="4" w:space="0" w:color="auto"/>
              <w:right w:val="nil"/>
            </w:tcBorders>
            <w:shd w:val="clear" w:color="auto" w:fill="auto"/>
            <w:noWrap/>
            <w:vAlign w:val="bottom"/>
            <w:hideMark/>
          </w:tcPr>
          <w:p w14:paraId="3C2DB40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w:t>
            </w:r>
          </w:p>
        </w:tc>
      </w:tr>
      <w:tr w:rsidR="009E34FE" w:rsidRPr="009E34FE" w14:paraId="39DC8EA2" w14:textId="77777777" w:rsidTr="009E34FE">
        <w:trPr>
          <w:trHeight w:val="13"/>
          <w:jc w:val="center"/>
        </w:trPr>
        <w:tc>
          <w:tcPr>
            <w:tcW w:w="2390" w:type="dxa"/>
            <w:gridSpan w:val="2"/>
            <w:tcBorders>
              <w:top w:val="nil"/>
              <w:left w:val="nil"/>
              <w:bottom w:val="nil"/>
              <w:right w:val="nil"/>
            </w:tcBorders>
            <w:shd w:val="clear" w:color="auto" w:fill="auto"/>
            <w:noWrap/>
            <w:vAlign w:val="bottom"/>
            <w:hideMark/>
          </w:tcPr>
          <w:p w14:paraId="639DB18C"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Iron and Steel:</w:t>
            </w:r>
          </w:p>
        </w:tc>
        <w:tc>
          <w:tcPr>
            <w:tcW w:w="607" w:type="dxa"/>
            <w:tcBorders>
              <w:top w:val="nil"/>
              <w:left w:val="nil"/>
              <w:bottom w:val="nil"/>
              <w:right w:val="nil"/>
            </w:tcBorders>
            <w:shd w:val="clear" w:color="auto" w:fill="auto"/>
            <w:noWrap/>
            <w:vAlign w:val="bottom"/>
            <w:hideMark/>
          </w:tcPr>
          <w:p w14:paraId="33B1235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2DA5DEDB"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4F63430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2E0EA08F"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023258F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08B5BA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5D484620"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38B72167"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648935D9"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07" w:type="dxa"/>
            <w:tcBorders>
              <w:top w:val="nil"/>
              <w:left w:val="nil"/>
              <w:bottom w:val="nil"/>
              <w:right w:val="nil"/>
            </w:tcBorders>
            <w:shd w:val="clear" w:color="auto" w:fill="auto"/>
            <w:noWrap/>
            <w:vAlign w:val="bottom"/>
            <w:hideMark/>
          </w:tcPr>
          <w:p w14:paraId="7EE39FF8"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616" w:type="dxa"/>
            <w:tcBorders>
              <w:top w:val="nil"/>
              <w:left w:val="nil"/>
              <w:bottom w:val="nil"/>
              <w:right w:val="nil"/>
            </w:tcBorders>
            <w:shd w:val="clear" w:color="auto" w:fill="auto"/>
            <w:noWrap/>
            <w:vAlign w:val="bottom"/>
            <w:hideMark/>
          </w:tcPr>
          <w:p w14:paraId="7D7CDAA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r>
      <w:tr w:rsidR="009E34FE" w:rsidRPr="009E34FE" w14:paraId="33009BFC" w14:textId="77777777" w:rsidTr="009E34FE">
        <w:trPr>
          <w:trHeight w:val="12"/>
          <w:jc w:val="center"/>
        </w:trPr>
        <w:tc>
          <w:tcPr>
            <w:tcW w:w="255" w:type="dxa"/>
            <w:tcBorders>
              <w:top w:val="nil"/>
              <w:left w:val="nil"/>
              <w:bottom w:val="nil"/>
              <w:right w:val="nil"/>
            </w:tcBorders>
            <w:shd w:val="clear" w:color="auto" w:fill="auto"/>
            <w:noWrap/>
            <w:vAlign w:val="bottom"/>
            <w:hideMark/>
          </w:tcPr>
          <w:p w14:paraId="5D58BA96"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2FFAEF40"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Domestic raw steel production</w:t>
            </w:r>
          </w:p>
        </w:tc>
        <w:tc>
          <w:tcPr>
            <w:tcW w:w="607" w:type="dxa"/>
            <w:tcBorders>
              <w:top w:val="nil"/>
              <w:left w:val="nil"/>
              <w:bottom w:val="nil"/>
              <w:right w:val="nil"/>
            </w:tcBorders>
            <w:shd w:val="clear" w:color="auto" w:fill="auto"/>
            <w:noWrap/>
            <w:vAlign w:val="bottom"/>
            <w:hideMark/>
          </w:tcPr>
          <w:p w14:paraId="48B92D2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98.2</w:t>
            </w:r>
          </w:p>
        </w:tc>
        <w:tc>
          <w:tcPr>
            <w:tcW w:w="607" w:type="dxa"/>
            <w:tcBorders>
              <w:top w:val="nil"/>
              <w:left w:val="nil"/>
              <w:bottom w:val="nil"/>
              <w:right w:val="nil"/>
            </w:tcBorders>
            <w:shd w:val="clear" w:color="auto" w:fill="auto"/>
            <w:noWrap/>
            <w:vAlign w:val="bottom"/>
            <w:hideMark/>
          </w:tcPr>
          <w:p w14:paraId="03065F9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98.1</w:t>
            </w:r>
          </w:p>
        </w:tc>
        <w:tc>
          <w:tcPr>
            <w:tcW w:w="607" w:type="dxa"/>
            <w:tcBorders>
              <w:top w:val="nil"/>
              <w:left w:val="nil"/>
              <w:bottom w:val="nil"/>
              <w:right w:val="nil"/>
            </w:tcBorders>
            <w:shd w:val="clear" w:color="auto" w:fill="auto"/>
            <w:noWrap/>
            <w:vAlign w:val="bottom"/>
            <w:hideMark/>
          </w:tcPr>
          <w:p w14:paraId="268E6B6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91.9</w:t>
            </w:r>
          </w:p>
        </w:tc>
        <w:tc>
          <w:tcPr>
            <w:tcW w:w="607" w:type="dxa"/>
            <w:tcBorders>
              <w:top w:val="nil"/>
              <w:left w:val="nil"/>
              <w:bottom w:val="nil"/>
              <w:right w:val="nil"/>
            </w:tcBorders>
            <w:shd w:val="clear" w:color="auto" w:fill="auto"/>
            <w:noWrap/>
            <w:vAlign w:val="bottom"/>
            <w:hideMark/>
          </w:tcPr>
          <w:p w14:paraId="40BAAA0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59.4</w:t>
            </w:r>
          </w:p>
        </w:tc>
        <w:tc>
          <w:tcPr>
            <w:tcW w:w="607" w:type="dxa"/>
            <w:tcBorders>
              <w:top w:val="nil"/>
              <w:left w:val="nil"/>
              <w:bottom w:val="nil"/>
              <w:right w:val="nil"/>
            </w:tcBorders>
            <w:shd w:val="clear" w:color="auto" w:fill="auto"/>
            <w:noWrap/>
            <w:vAlign w:val="bottom"/>
            <w:hideMark/>
          </w:tcPr>
          <w:p w14:paraId="5418CE9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80.5</w:t>
            </w:r>
          </w:p>
        </w:tc>
        <w:tc>
          <w:tcPr>
            <w:tcW w:w="607" w:type="dxa"/>
            <w:tcBorders>
              <w:top w:val="nil"/>
              <w:left w:val="nil"/>
              <w:bottom w:val="nil"/>
              <w:right w:val="nil"/>
            </w:tcBorders>
            <w:shd w:val="clear" w:color="auto" w:fill="auto"/>
            <w:noWrap/>
            <w:vAlign w:val="bottom"/>
            <w:hideMark/>
          </w:tcPr>
          <w:p w14:paraId="56B9613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86.4</w:t>
            </w:r>
          </w:p>
        </w:tc>
        <w:tc>
          <w:tcPr>
            <w:tcW w:w="607" w:type="dxa"/>
            <w:tcBorders>
              <w:top w:val="nil"/>
              <w:left w:val="nil"/>
              <w:bottom w:val="nil"/>
              <w:right w:val="nil"/>
            </w:tcBorders>
            <w:shd w:val="clear" w:color="auto" w:fill="auto"/>
            <w:noWrap/>
            <w:vAlign w:val="bottom"/>
            <w:hideMark/>
          </w:tcPr>
          <w:p w14:paraId="20D3ABA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88.7</w:t>
            </w:r>
          </w:p>
        </w:tc>
        <w:tc>
          <w:tcPr>
            <w:tcW w:w="607" w:type="dxa"/>
            <w:tcBorders>
              <w:top w:val="nil"/>
              <w:left w:val="nil"/>
              <w:bottom w:val="nil"/>
              <w:right w:val="nil"/>
            </w:tcBorders>
            <w:shd w:val="clear" w:color="auto" w:fill="auto"/>
            <w:noWrap/>
            <w:vAlign w:val="bottom"/>
            <w:hideMark/>
          </w:tcPr>
          <w:p w14:paraId="736D5812"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86.9</w:t>
            </w:r>
          </w:p>
        </w:tc>
        <w:tc>
          <w:tcPr>
            <w:tcW w:w="607" w:type="dxa"/>
            <w:tcBorders>
              <w:top w:val="nil"/>
              <w:left w:val="nil"/>
              <w:bottom w:val="nil"/>
              <w:right w:val="nil"/>
            </w:tcBorders>
            <w:shd w:val="clear" w:color="auto" w:fill="auto"/>
            <w:noWrap/>
            <w:vAlign w:val="bottom"/>
            <w:hideMark/>
          </w:tcPr>
          <w:p w14:paraId="44D8970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88.2</w:t>
            </w:r>
          </w:p>
        </w:tc>
        <w:tc>
          <w:tcPr>
            <w:tcW w:w="607" w:type="dxa"/>
            <w:tcBorders>
              <w:top w:val="nil"/>
              <w:left w:val="nil"/>
              <w:bottom w:val="nil"/>
              <w:right w:val="nil"/>
            </w:tcBorders>
            <w:shd w:val="clear" w:color="auto" w:fill="auto"/>
            <w:noWrap/>
            <w:vAlign w:val="bottom"/>
            <w:hideMark/>
          </w:tcPr>
          <w:p w14:paraId="44270EB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78.8</w:t>
            </w:r>
          </w:p>
        </w:tc>
        <w:tc>
          <w:tcPr>
            <w:tcW w:w="616" w:type="dxa"/>
            <w:tcBorders>
              <w:top w:val="nil"/>
              <w:left w:val="nil"/>
              <w:bottom w:val="nil"/>
              <w:right w:val="nil"/>
            </w:tcBorders>
            <w:shd w:val="clear" w:color="auto" w:fill="auto"/>
            <w:noWrap/>
            <w:vAlign w:val="bottom"/>
            <w:hideMark/>
          </w:tcPr>
          <w:p w14:paraId="296C18D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80.0</w:t>
            </w:r>
          </w:p>
        </w:tc>
      </w:tr>
      <w:tr w:rsidR="009E34FE" w:rsidRPr="009E34FE" w14:paraId="73983C82" w14:textId="77777777" w:rsidTr="009E34FE">
        <w:trPr>
          <w:trHeight w:val="13"/>
          <w:jc w:val="center"/>
        </w:trPr>
        <w:tc>
          <w:tcPr>
            <w:tcW w:w="255" w:type="dxa"/>
            <w:tcBorders>
              <w:top w:val="nil"/>
              <w:left w:val="nil"/>
              <w:bottom w:val="nil"/>
              <w:right w:val="nil"/>
            </w:tcBorders>
            <w:shd w:val="clear" w:color="auto" w:fill="auto"/>
            <w:noWrap/>
            <w:vAlign w:val="bottom"/>
            <w:hideMark/>
          </w:tcPr>
          <w:p w14:paraId="396CE3C5"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p>
        </w:tc>
        <w:tc>
          <w:tcPr>
            <w:tcW w:w="2134" w:type="dxa"/>
            <w:tcBorders>
              <w:top w:val="nil"/>
              <w:left w:val="nil"/>
              <w:bottom w:val="nil"/>
              <w:right w:val="nil"/>
            </w:tcBorders>
            <w:shd w:val="clear" w:color="auto" w:fill="auto"/>
            <w:noWrap/>
            <w:vAlign w:val="bottom"/>
            <w:hideMark/>
          </w:tcPr>
          <w:p w14:paraId="216AD283"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Consumption, apparent</w:t>
            </w:r>
          </w:p>
        </w:tc>
        <w:tc>
          <w:tcPr>
            <w:tcW w:w="607" w:type="dxa"/>
            <w:tcBorders>
              <w:top w:val="nil"/>
              <w:left w:val="nil"/>
              <w:bottom w:val="nil"/>
              <w:right w:val="nil"/>
            </w:tcBorders>
            <w:shd w:val="clear" w:color="auto" w:fill="auto"/>
            <w:noWrap/>
            <w:vAlign w:val="bottom"/>
            <w:hideMark/>
          </w:tcPr>
          <w:p w14:paraId="1A1AAC2E"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120</w:t>
            </w:r>
          </w:p>
        </w:tc>
        <w:tc>
          <w:tcPr>
            <w:tcW w:w="607" w:type="dxa"/>
            <w:tcBorders>
              <w:top w:val="nil"/>
              <w:left w:val="nil"/>
              <w:bottom w:val="nil"/>
              <w:right w:val="nil"/>
            </w:tcBorders>
            <w:shd w:val="clear" w:color="auto" w:fill="auto"/>
            <w:noWrap/>
            <w:vAlign w:val="bottom"/>
            <w:hideMark/>
          </w:tcPr>
          <w:p w14:paraId="0C4C2A3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116</w:t>
            </w:r>
          </w:p>
        </w:tc>
        <w:tc>
          <w:tcPr>
            <w:tcW w:w="607" w:type="dxa"/>
            <w:tcBorders>
              <w:top w:val="nil"/>
              <w:left w:val="nil"/>
              <w:bottom w:val="nil"/>
              <w:right w:val="nil"/>
            </w:tcBorders>
            <w:shd w:val="clear" w:color="auto" w:fill="auto"/>
            <w:noWrap/>
            <w:vAlign w:val="bottom"/>
            <w:hideMark/>
          </w:tcPr>
          <w:p w14:paraId="60FC6116"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102</w:t>
            </w:r>
          </w:p>
        </w:tc>
        <w:tc>
          <w:tcPr>
            <w:tcW w:w="607" w:type="dxa"/>
            <w:tcBorders>
              <w:top w:val="nil"/>
              <w:left w:val="nil"/>
              <w:bottom w:val="nil"/>
              <w:right w:val="nil"/>
            </w:tcBorders>
            <w:shd w:val="clear" w:color="auto" w:fill="auto"/>
            <w:noWrap/>
            <w:vAlign w:val="bottom"/>
            <w:hideMark/>
          </w:tcPr>
          <w:p w14:paraId="4D25726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63.0</w:t>
            </w:r>
          </w:p>
        </w:tc>
        <w:tc>
          <w:tcPr>
            <w:tcW w:w="607" w:type="dxa"/>
            <w:tcBorders>
              <w:top w:val="nil"/>
              <w:left w:val="nil"/>
              <w:bottom w:val="nil"/>
              <w:right w:val="nil"/>
            </w:tcBorders>
            <w:shd w:val="clear" w:color="auto" w:fill="auto"/>
            <w:noWrap/>
            <w:vAlign w:val="bottom"/>
            <w:hideMark/>
          </w:tcPr>
          <w:p w14:paraId="30A33C27"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80.0</w:t>
            </w:r>
          </w:p>
        </w:tc>
        <w:tc>
          <w:tcPr>
            <w:tcW w:w="607" w:type="dxa"/>
            <w:tcBorders>
              <w:top w:val="nil"/>
              <w:left w:val="nil"/>
              <w:bottom w:val="nil"/>
              <w:right w:val="nil"/>
            </w:tcBorders>
            <w:shd w:val="clear" w:color="auto" w:fill="auto"/>
            <w:noWrap/>
            <w:vAlign w:val="bottom"/>
            <w:hideMark/>
          </w:tcPr>
          <w:p w14:paraId="0147706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90.0</w:t>
            </w:r>
          </w:p>
        </w:tc>
        <w:tc>
          <w:tcPr>
            <w:tcW w:w="607" w:type="dxa"/>
            <w:tcBorders>
              <w:top w:val="nil"/>
              <w:left w:val="nil"/>
              <w:bottom w:val="nil"/>
              <w:right w:val="nil"/>
            </w:tcBorders>
            <w:shd w:val="clear" w:color="auto" w:fill="auto"/>
            <w:noWrap/>
            <w:vAlign w:val="bottom"/>
            <w:hideMark/>
          </w:tcPr>
          <w:p w14:paraId="2CAEBBF0"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98.0</w:t>
            </w:r>
          </w:p>
        </w:tc>
        <w:tc>
          <w:tcPr>
            <w:tcW w:w="607" w:type="dxa"/>
            <w:tcBorders>
              <w:top w:val="nil"/>
              <w:left w:val="nil"/>
              <w:bottom w:val="nil"/>
              <w:right w:val="nil"/>
            </w:tcBorders>
            <w:shd w:val="clear" w:color="auto" w:fill="auto"/>
            <w:noWrap/>
            <w:vAlign w:val="bottom"/>
            <w:hideMark/>
          </w:tcPr>
          <w:p w14:paraId="466CAE5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98.0</w:t>
            </w:r>
          </w:p>
        </w:tc>
        <w:tc>
          <w:tcPr>
            <w:tcW w:w="607" w:type="dxa"/>
            <w:tcBorders>
              <w:top w:val="nil"/>
              <w:left w:val="nil"/>
              <w:bottom w:val="nil"/>
              <w:right w:val="nil"/>
            </w:tcBorders>
            <w:shd w:val="clear" w:color="auto" w:fill="auto"/>
            <w:noWrap/>
            <w:vAlign w:val="bottom"/>
            <w:hideMark/>
          </w:tcPr>
          <w:p w14:paraId="5269483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107.0</w:t>
            </w:r>
          </w:p>
        </w:tc>
        <w:tc>
          <w:tcPr>
            <w:tcW w:w="607" w:type="dxa"/>
            <w:tcBorders>
              <w:top w:val="nil"/>
              <w:left w:val="nil"/>
              <w:bottom w:val="nil"/>
              <w:right w:val="nil"/>
            </w:tcBorders>
            <w:shd w:val="clear" w:color="auto" w:fill="auto"/>
            <w:noWrap/>
            <w:vAlign w:val="bottom"/>
            <w:hideMark/>
          </w:tcPr>
          <w:p w14:paraId="2C051B4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99.0</w:t>
            </w:r>
          </w:p>
        </w:tc>
        <w:tc>
          <w:tcPr>
            <w:tcW w:w="616" w:type="dxa"/>
            <w:tcBorders>
              <w:top w:val="nil"/>
              <w:left w:val="nil"/>
              <w:bottom w:val="nil"/>
              <w:right w:val="nil"/>
            </w:tcBorders>
            <w:shd w:val="clear" w:color="auto" w:fill="auto"/>
            <w:noWrap/>
            <w:vAlign w:val="bottom"/>
            <w:hideMark/>
          </w:tcPr>
          <w:p w14:paraId="5AF4922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94.0</w:t>
            </w:r>
          </w:p>
        </w:tc>
      </w:tr>
      <w:tr w:rsidR="009E34FE" w:rsidRPr="009E34FE" w14:paraId="4D647372" w14:textId="77777777" w:rsidTr="009E34FE">
        <w:trPr>
          <w:trHeight w:val="25"/>
          <w:jc w:val="center"/>
        </w:trPr>
        <w:tc>
          <w:tcPr>
            <w:tcW w:w="255" w:type="dxa"/>
            <w:tcBorders>
              <w:top w:val="nil"/>
              <w:left w:val="nil"/>
              <w:bottom w:val="single" w:sz="4" w:space="0" w:color="auto"/>
              <w:right w:val="nil"/>
            </w:tcBorders>
            <w:shd w:val="clear" w:color="auto" w:fill="auto"/>
            <w:noWrap/>
            <w:vAlign w:val="bottom"/>
            <w:hideMark/>
          </w:tcPr>
          <w:p w14:paraId="32562C9B"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 </w:t>
            </w:r>
          </w:p>
        </w:tc>
        <w:tc>
          <w:tcPr>
            <w:tcW w:w="2134" w:type="dxa"/>
            <w:tcBorders>
              <w:top w:val="nil"/>
              <w:left w:val="nil"/>
              <w:bottom w:val="single" w:sz="4" w:space="0" w:color="auto"/>
              <w:right w:val="nil"/>
            </w:tcBorders>
            <w:shd w:val="clear" w:color="auto" w:fill="auto"/>
            <w:vAlign w:val="bottom"/>
            <w:hideMark/>
          </w:tcPr>
          <w:p w14:paraId="2EFA0702" w14:textId="77777777" w:rsidR="008F05F3" w:rsidRPr="009E34FE" w:rsidRDefault="008F05F3" w:rsidP="008F05F3">
            <w:pPr>
              <w:spacing w:after="0"/>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Net import reliance as % of consumption</w:t>
            </w:r>
          </w:p>
        </w:tc>
        <w:tc>
          <w:tcPr>
            <w:tcW w:w="607" w:type="dxa"/>
            <w:tcBorders>
              <w:top w:val="nil"/>
              <w:left w:val="nil"/>
              <w:bottom w:val="single" w:sz="4" w:space="0" w:color="auto"/>
              <w:right w:val="nil"/>
            </w:tcBorders>
            <w:shd w:val="clear" w:color="auto" w:fill="auto"/>
            <w:noWrap/>
            <w:vAlign w:val="bottom"/>
            <w:hideMark/>
          </w:tcPr>
          <w:p w14:paraId="48EBA341"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17</w:t>
            </w:r>
          </w:p>
        </w:tc>
        <w:tc>
          <w:tcPr>
            <w:tcW w:w="607" w:type="dxa"/>
            <w:tcBorders>
              <w:top w:val="nil"/>
              <w:left w:val="nil"/>
              <w:bottom w:val="single" w:sz="4" w:space="0" w:color="auto"/>
              <w:right w:val="nil"/>
            </w:tcBorders>
            <w:shd w:val="clear" w:color="auto" w:fill="auto"/>
            <w:noWrap/>
            <w:vAlign w:val="bottom"/>
            <w:hideMark/>
          </w:tcPr>
          <w:p w14:paraId="12E2D20D"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16</w:t>
            </w:r>
          </w:p>
        </w:tc>
        <w:tc>
          <w:tcPr>
            <w:tcW w:w="607" w:type="dxa"/>
            <w:tcBorders>
              <w:top w:val="nil"/>
              <w:left w:val="nil"/>
              <w:bottom w:val="single" w:sz="4" w:space="0" w:color="auto"/>
              <w:right w:val="nil"/>
            </w:tcBorders>
            <w:shd w:val="clear" w:color="auto" w:fill="auto"/>
            <w:noWrap/>
            <w:vAlign w:val="bottom"/>
            <w:hideMark/>
          </w:tcPr>
          <w:p w14:paraId="22A1039B"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13</w:t>
            </w:r>
          </w:p>
        </w:tc>
        <w:tc>
          <w:tcPr>
            <w:tcW w:w="607" w:type="dxa"/>
            <w:tcBorders>
              <w:top w:val="nil"/>
              <w:left w:val="nil"/>
              <w:bottom w:val="single" w:sz="4" w:space="0" w:color="auto"/>
              <w:right w:val="nil"/>
            </w:tcBorders>
            <w:shd w:val="clear" w:color="auto" w:fill="auto"/>
            <w:noWrap/>
            <w:vAlign w:val="bottom"/>
            <w:hideMark/>
          </w:tcPr>
          <w:p w14:paraId="161424B5"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w:t>
            </w:r>
          </w:p>
        </w:tc>
        <w:tc>
          <w:tcPr>
            <w:tcW w:w="607" w:type="dxa"/>
            <w:tcBorders>
              <w:top w:val="nil"/>
              <w:left w:val="nil"/>
              <w:bottom w:val="single" w:sz="4" w:space="0" w:color="auto"/>
              <w:right w:val="nil"/>
            </w:tcBorders>
            <w:shd w:val="clear" w:color="auto" w:fill="auto"/>
            <w:noWrap/>
            <w:vAlign w:val="bottom"/>
            <w:hideMark/>
          </w:tcPr>
          <w:p w14:paraId="1DD0ED9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6</w:t>
            </w:r>
          </w:p>
        </w:tc>
        <w:tc>
          <w:tcPr>
            <w:tcW w:w="607" w:type="dxa"/>
            <w:tcBorders>
              <w:top w:val="nil"/>
              <w:left w:val="nil"/>
              <w:bottom w:val="single" w:sz="4" w:space="0" w:color="auto"/>
              <w:right w:val="nil"/>
            </w:tcBorders>
            <w:shd w:val="clear" w:color="auto" w:fill="auto"/>
            <w:noWrap/>
            <w:vAlign w:val="bottom"/>
            <w:hideMark/>
          </w:tcPr>
          <w:p w14:paraId="7337E91C"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7</w:t>
            </w:r>
          </w:p>
        </w:tc>
        <w:tc>
          <w:tcPr>
            <w:tcW w:w="607" w:type="dxa"/>
            <w:tcBorders>
              <w:top w:val="nil"/>
              <w:left w:val="nil"/>
              <w:bottom w:val="single" w:sz="4" w:space="0" w:color="auto"/>
              <w:right w:val="nil"/>
            </w:tcBorders>
            <w:shd w:val="clear" w:color="auto" w:fill="auto"/>
            <w:noWrap/>
            <w:vAlign w:val="bottom"/>
            <w:hideMark/>
          </w:tcPr>
          <w:p w14:paraId="42F6D1E8"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11</w:t>
            </w:r>
          </w:p>
        </w:tc>
        <w:tc>
          <w:tcPr>
            <w:tcW w:w="607" w:type="dxa"/>
            <w:tcBorders>
              <w:top w:val="nil"/>
              <w:left w:val="nil"/>
              <w:bottom w:val="single" w:sz="4" w:space="0" w:color="auto"/>
              <w:right w:val="nil"/>
            </w:tcBorders>
            <w:shd w:val="clear" w:color="auto" w:fill="auto"/>
            <w:noWrap/>
            <w:vAlign w:val="bottom"/>
            <w:hideMark/>
          </w:tcPr>
          <w:p w14:paraId="11DF792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12</w:t>
            </w:r>
          </w:p>
        </w:tc>
        <w:tc>
          <w:tcPr>
            <w:tcW w:w="607" w:type="dxa"/>
            <w:tcBorders>
              <w:top w:val="nil"/>
              <w:left w:val="nil"/>
              <w:bottom w:val="single" w:sz="4" w:space="0" w:color="auto"/>
              <w:right w:val="nil"/>
            </w:tcBorders>
            <w:shd w:val="clear" w:color="auto" w:fill="auto"/>
            <w:noWrap/>
            <w:vAlign w:val="bottom"/>
            <w:hideMark/>
          </w:tcPr>
          <w:p w14:paraId="453714F9"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30</w:t>
            </w:r>
          </w:p>
        </w:tc>
        <w:tc>
          <w:tcPr>
            <w:tcW w:w="607" w:type="dxa"/>
            <w:tcBorders>
              <w:top w:val="nil"/>
              <w:left w:val="nil"/>
              <w:bottom w:val="single" w:sz="4" w:space="0" w:color="auto"/>
              <w:right w:val="nil"/>
            </w:tcBorders>
            <w:shd w:val="clear" w:color="auto" w:fill="auto"/>
            <w:noWrap/>
            <w:vAlign w:val="bottom"/>
            <w:hideMark/>
          </w:tcPr>
          <w:p w14:paraId="6D2C6574"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22</w:t>
            </w:r>
          </w:p>
        </w:tc>
        <w:tc>
          <w:tcPr>
            <w:tcW w:w="616" w:type="dxa"/>
            <w:tcBorders>
              <w:top w:val="nil"/>
              <w:left w:val="nil"/>
              <w:bottom w:val="single" w:sz="4" w:space="0" w:color="auto"/>
              <w:right w:val="nil"/>
            </w:tcBorders>
            <w:shd w:val="clear" w:color="auto" w:fill="auto"/>
            <w:noWrap/>
            <w:vAlign w:val="bottom"/>
            <w:hideMark/>
          </w:tcPr>
          <w:p w14:paraId="5B3CFA8A" w14:textId="77777777" w:rsidR="008F05F3" w:rsidRPr="009E34FE" w:rsidRDefault="008F05F3" w:rsidP="008F05F3">
            <w:pPr>
              <w:spacing w:after="0"/>
              <w:jc w:val="right"/>
              <w:rPr>
                <w:rFonts w:ascii="Times New Roman" w:eastAsia="Times New Roman" w:hAnsi="Times New Roman" w:cs="Times New Roman"/>
                <w:color w:val="000000"/>
                <w:sz w:val="16"/>
                <w:szCs w:val="16"/>
                <w:lang w:eastAsia="en-US"/>
              </w:rPr>
            </w:pPr>
            <w:r w:rsidRPr="009E34FE">
              <w:rPr>
                <w:rFonts w:ascii="Times New Roman" w:eastAsia="Times New Roman" w:hAnsi="Times New Roman" w:cs="Times New Roman"/>
                <w:color w:val="000000"/>
                <w:sz w:val="16"/>
                <w:szCs w:val="16"/>
                <w:lang w:eastAsia="en-US"/>
              </w:rPr>
              <w:t>16</w:t>
            </w:r>
          </w:p>
        </w:tc>
      </w:tr>
      <w:bookmarkEnd w:id="1"/>
    </w:tbl>
    <w:p w14:paraId="264C5672" w14:textId="77777777" w:rsidR="007D642B" w:rsidRPr="00705777" w:rsidRDefault="007D642B" w:rsidP="00705777">
      <w:pPr>
        <w:spacing w:after="0"/>
        <w:rPr>
          <w:rFonts w:ascii="Times New Roman" w:eastAsia="Times New Roman" w:hAnsi="Times New Roman" w:cs="Times New Roman"/>
          <w:color w:val="000000"/>
          <w:sz w:val="20"/>
          <w:szCs w:val="20"/>
          <w:lang w:eastAsia="en-US"/>
        </w:rPr>
      </w:pPr>
    </w:p>
    <w:p w14:paraId="26BDEA13" w14:textId="62A5B61E" w:rsidR="00021F29" w:rsidRPr="00D0297B" w:rsidRDefault="00E34D7C" w:rsidP="00705777">
      <w:pPr>
        <w:rPr>
          <w:rFonts w:ascii="Times New Roman" w:hAnsi="Times New Roman" w:cs="Times New Roman"/>
        </w:rPr>
      </w:pPr>
      <w:r w:rsidRPr="00D0297B">
        <w:rPr>
          <w:rFonts w:ascii="Times New Roman" w:hAnsi="Times New Roman" w:cs="Times New Roman"/>
        </w:rPr>
        <w:t>Most natural aggregates are used as a construction material (94 percent of sand and gravel and 76 percent of crushed stone)</w:t>
      </w:r>
      <w:r w:rsidR="00090CA7" w:rsidRPr="00D0297B">
        <w:rPr>
          <w:rFonts w:ascii="Times New Roman" w:hAnsi="Times New Roman" w:cs="Times New Roman"/>
        </w:rPr>
        <w:t>, and most are sourced in the United States</w:t>
      </w:r>
      <w:r w:rsidRPr="00D0297B">
        <w:rPr>
          <w:rFonts w:ascii="Times New Roman" w:hAnsi="Times New Roman" w:cs="Times New Roman"/>
        </w:rPr>
        <w:t xml:space="preserve">. </w:t>
      </w:r>
      <w:r w:rsidR="004D579B" w:rsidRPr="00D0297B">
        <w:rPr>
          <w:rFonts w:ascii="Times New Roman" w:hAnsi="Times New Roman" w:cs="Times New Roman"/>
        </w:rPr>
        <w:t xml:space="preserve"> </w:t>
      </w:r>
      <w:r w:rsidR="004C4B5F" w:rsidRPr="00D0297B">
        <w:rPr>
          <w:rFonts w:ascii="Times New Roman" w:hAnsi="Times New Roman" w:cs="Times New Roman"/>
        </w:rPr>
        <w:t>Aggregates can be used without any binder for a variety of construction o</w:t>
      </w:r>
      <w:r w:rsidR="00B065C7" w:rsidRPr="00D0297B">
        <w:rPr>
          <w:rFonts w:ascii="Times New Roman" w:hAnsi="Times New Roman" w:cs="Times New Roman"/>
        </w:rPr>
        <w:t>r industrial applications, or they</w:t>
      </w:r>
      <w:r w:rsidR="004C4B5F" w:rsidRPr="00D0297B">
        <w:rPr>
          <w:rFonts w:ascii="Times New Roman" w:hAnsi="Times New Roman" w:cs="Times New Roman"/>
        </w:rPr>
        <w:t xml:space="preserve"> can be mixed with a matrix binding material such as </w:t>
      </w:r>
      <w:r w:rsidR="00B065C7" w:rsidRPr="00D0297B">
        <w:rPr>
          <w:rFonts w:ascii="Times New Roman" w:hAnsi="Times New Roman" w:cs="Times New Roman"/>
        </w:rPr>
        <w:t xml:space="preserve">hydraulic cement or </w:t>
      </w:r>
      <w:r w:rsidR="004C4B5F" w:rsidRPr="00D0297B">
        <w:rPr>
          <w:rFonts w:ascii="Times New Roman" w:hAnsi="Times New Roman" w:cs="Times New Roman"/>
        </w:rPr>
        <w:t>da</w:t>
      </w:r>
      <w:r w:rsidR="00B065C7" w:rsidRPr="00D0297B">
        <w:rPr>
          <w:rFonts w:ascii="Times New Roman" w:hAnsi="Times New Roman" w:cs="Times New Roman"/>
        </w:rPr>
        <w:t>rk bituminous pitch (asphalt)</w:t>
      </w:r>
      <w:r w:rsidR="004C4B5F" w:rsidRPr="00D0297B">
        <w:rPr>
          <w:rFonts w:ascii="Times New Roman" w:hAnsi="Times New Roman" w:cs="Times New Roman"/>
        </w:rPr>
        <w:t xml:space="preserve">. </w:t>
      </w:r>
      <w:r w:rsidR="004D579B" w:rsidRPr="00D0297B">
        <w:rPr>
          <w:rFonts w:ascii="Times New Roman" w:hAnsi="Times New Roman" w:cs="Times New Roman"/>
        </w:rPr>
        <w:t xml:space="preserve"> </w:t>
      </w:r>
      <w:r w:rsidR="00B065C7" w:rsidRPr="00D0297B">
        <w:rPr>
          <w:rFonts w:ascii="Times New Roman" w:hAnsi="Times New Roman" w:cs="Times New Roman"/>
        </w:rPr>
        <w:t>A c</w:t>
      </w:r>
      <w:r w:rsidRPr="00D0297B">
        <w:rPr>
          <w:rFonts w:ascii="Times New Roman" w:hAnsi="Times New Roman" w:cs="Times New Roman"/>
        </w:rPr>
        <w:t xml:space="preserve">ommon use of aggregates as a construction material </w:t>
      </w:r>
      <w:r w:rsidR="00B065C7" w:rsidRPr="00D0297B">
        <w:rPr>
          <w:rFonts w:ascii="Times New Roman" w:hAnsi="Times New Roman" w:cs="Times New Roman"/>
        </w:rPr>
        <w:t>is</w:t>
      </w:r>
      <w:r w:rsidRPr="00D0297B">
        <w:rPr>
          <w:rFonts w:ascii="Times New Roman" w:hAnsi="Times New Roman" w:cs="Times New Roman"/>
        </w:rPr>
        <w:t xml:space="preserve"> in transportation projects. </w:t>
      </w:r>
      <w:r w:rsidR="004D579B" w:rsidRPr="00D0297B">
        <w:rPr>
          <w:rFonts w:ascii="Times New Roman" w:hAnsi="Times New Roman" w:cs="Times New Roman"/>
        </w:rPr>
        <w:t xml:space="preserve"> </w:t>
      </w:r>
      <w:r w:rsidR="00B065C7" w:rsidRPr="00D0297B">
        <w:rPr>
          <w:rFonts w:ascii="Times New Roman" w:hAnsi="Times New Roman" w:cs="Times New Roman"/>
        </w:rPr>
        <w:t xml:space="preserve">With a large, complex economy, the United States requires a vast system of roads and highways. </w:t>
      </w:r>
      <w:r w:rsidR="004D579B" w:rsidRPr="00D0297B">
        <w:rPr>
          <w:rFonts w:ascii="Times New Roman" w:hAnsi="Times New Roman" w:cs="Times New Roman"/>
        </w:rPr>
        <w:t xml:space="preserve"> </w:t>
      </w:r>
      <w:r w:rsidR="00B065C7" w:rsidRPr="00D0297B">
        <w:rPr>
          <w:rFonts w:ascii="Times New Roman" w:hAnsi="Times New Roman" w:cs="Times New Roman"/>
        </w:rPr>
        <w:t xml:space="preserve">As of 2012, the most recent year for which detailed data are available, the United States had 4.1 million miles of roads, 1.0 million miles of which are maintained with Federal aid and 47,700 miles of which comprised the Interstate Highway System. </w:t>
      </w:r>
      <w:r w:rsidR="004D579B" w:rsidRPr="00D0297B">
        <w:rPr>
          <w:rFonts w:ascii="Times New Roman" w:hAnsi="Times New Roman" w:cs="Times New Roman"/>
        </w:rPr>
        <w:t xml:space="preserve"> </w:t>
      </w:r>
      <w:r w:rsidR="00635622" w:rsidRPr="00D0297B">
        <w:rPr>
          <w:rFonts w:ascii="Times New Roman" w:hAnsi="Times New Roman" w:cs="Times New Roman"/>
        </w:rPr>
        <w:t xml:space="preserve">On a tonnage basis, the most important materials used in road construction are sand and gravel and crushed stone aggregates. </w:t>
      </w:r>
      <w:r w:rsidR="004D579B" w:rsidRPr="00D0297B">
        <w:rPr>
          <w:rFonts w:ascii="Times New Roman" w:hAnsi="Times New Roman" w:cs="Times New Roman"/>
        </w:rPr>
        <w:t xml:space="preserve"> </w:t>
      </w:r>
      <w:r w:rsidR="00B065C7" w:rsidRPr="00D0297B">
        <w:rPr>
          <w:rFonts w:ascii="Times New Roman" w:hAnsi="Times New Roman" w:cs="Times New Roman"/>
        </w:rPr>
        <w:t>These materials are also</w:t>
      </w:r>
      <w:r w:rsidR="00635622" w:rsidRPr="00D0297B">
        <w:rPr>
          <w:rFonts w:ascii="Times New Roman" w:hAnsi="Times New Roman" w:cs="Times New Roman"/>
        </w:rPr>
        <w:t xml:space="preserve"> used in hydraulic cem</w:t>
      </w:r>
      <w:r w:rsidR="00B065C7" w:rsidRPr="00D0297B">
        <w:rPr>
          <w:rFonts w:ascii="Times New Roman" w:hAnsi="Times New Roman" w:cs="Times New Roman"/>
        </w:rPr>
        <w:t xml:space="preserve">ent concrete, with asphalt, </w:t>
      </w:r>
      <w:r w:rsidR="00635622" w:rsidRPr="00D0297B">
        <w:rPr>
          <w:rFonts w:ascii="Times New Roman" w:hAnsi="Times New Roman" w:cs="Times New Roman"/>
        </w:rPr>
        <w:t xml:space="preserve">and as road base. </w:t>
      </w:r>
      <w:r w:rsidR="004D579B" w:rsidRPr="00D0297B">
        <w:rPr>
          <w:rFonts w:ascii="Times New Roman" w:hAnsi="Times New Roman" w:cs="Times New Roman"/>
        </w:rPr>
        <w:t xml:space="preserve"> </w:t>
      </w:r>
      <w:r w:rsidR="00635622" w:rsidRPr="00D0297B">
        <w:rPr>
          <w:rFonts w:ascii="Times New Roman" w:hAnsi="Times New Roman" w:cs="Times New Roman"/>
        </w:rPr>
        <w:t>In addition, steel is used as culvert pipe, rein</w:t>
      </w:r>
      <w:r w:rsidR="00635622" w:rsidRPr="00D0297B">
        <w:rPr>
          <w:rFonts w:ascii="Times New Roman" w:hAnsi="Times New Roman" w:cs="Times New Roman"/>
        </w:rPr>
        <w:softHyphen/>
        <w:t xml:space="preserve">forcements, and structural support. </w:t>
      </w:r>
    </w:p>
    <w:p w14:paraId="48E9EFFC" w14:textId="51A87B06" w:rsidR="00E34D7C" w:rsidRPr="004F1A15" w:rsidRDefault="00E34D7C" w:rsidP="009F6380">
      <w:pPr>
        <w:rPr>
          <w:rFonts w:ascii="Times New Roman" w:hAnsi="Times New Roman" w:cs="Times New Roman"/>
          <w:u w:val="single"/>
        </w:rPr>
      </w:pPr>
      <w:r w:rsidRPr="004F1A15">
        <w:rPr>
          <w:rFonts w:ascii="Times New Roman" w:hAnsi="Times New Roman" w:cs="Times New Roman"/>
          <w:u w:val="single"/>
        </w:rPr>
        <w:t>Sand and Gravel</w:t>
      </w:r>
    </w:p>
    <w:p w14:paraId="4A267A48" w14:textId="67C6BF80" w:rsidR="00DE77DE" w:rsidRDefault="009F5B57">
      <w:pPr>
        <w:rPr>
          <w:rFonts w:ascii="Times New Roman" w:hAnsi="Times New Roman" w:cs="Times New Roman"/>
        </w:rPr>
      </w:pPr>
      <w:r w:rsidRPr="00563FA9">
        <w:rPr>
          <w:rFonts w:ascii="Times New Roman" w:hAnsi="Times New Roman" w:cs="Times New Roman"/>
        </w:rPr>
        <w:t xml:space="preserve">The level of construction activity and therefore the demand for construction materials determine the demand for sand and gravel. </w:t>
      </w:r>
      <w:r w:rsidR="004D579B">
        <w:rPr>
          <w:rFonts w:ascii="Times New Roman" w:hAnsi="Times New Roman" w:cs="Times New Roman"/>
        </w:rPr>
        <w:t xml:space="preserve"> </w:t>
      </w:r>
      <w:r w:rsidRPr="00563FA9">
        <w:rPr>
          <w:rFonts w:ascii="Times New Roman" w:hAnsi="Times New Roman" w:cs="Times New Roman"/>
        </w:rPr>
        <w:t>U.S. production of construction sand and gravel record</w:t>
      </w:r>
      <w:r w:rsidR="00563FA9" w:rsidRPr="00563FA9">
        <w:rPr>
          <w:rFonts w:ascii="Times New Roman" w:hAnsi="Times New Roman" w:cs="Times New Roman"/>
        </w:rPr>
        <w:t>ed a significant growth in the p</w:t>
      </w:r>
      <w:r w:rsidRPr="00563FA9">
        <w:rPr>
          <w:rFonts w:ascii="Times New Roman" w:hAnsi="Times New Roman" w:cs="Times New Roman"/>
        </w:rPr>
        <w:t xml:space="preserve">ast </w:t>
      </w:r>
      <w:r w:rsidR="00563FA9" w:rsidRPr="00563FA9">
        <w:rPr>
          <w:rFonts w:ascii="Times New Roman" w:hAnsi="Times New Roman" w:cs="Times New Roman"/>
        </w:rPr>
        <w:t>67 years, from 336 million metric tons in 1950 to 959 million metric tons in 2016</w:t>
      </w:r>
      <w:r w:rsidR="00655903" w:rsidRPr="00563FA9">
        <w:rPr>
          <w:rFonts w:ascii="Times New Roman" w:hAnsi="Times New Roman" w:cs="Times New Roman"/>
        </w:rPr>
        <w:t xml:space="preserve"> </w:t>
      </w:r>
      <w:r w:rsidRPr="00563FA9">
        <w:rPr>
          <w:rFonts w:ascii="Times New Roman" w:hAnsi="Times New Roman" w:cs="Times New Roman"/>
        </w:rPr>
        <w:t>valued at $</w:t>
      </w:r>
      <w:r w:rsidR="00563FA9" w:rsidRPr="00563FA9">
        <w:rPr>
          <w:rFonts w:ascii="Times New Roman" w:hAnsi="Times New Roman" w:cs="Times New Roman"/>
        </w:rPr>
        <w:t>8.6</w:t>
      </w:r>
      <w:r w:rsidR="00655903" w:rsidRPr="00563FA9">
        <w:rPr>
          <w:rFonts w:ascii="Times New Roman" w:hAnsi="Times New Roman" w:cs="Times New Roman"/>
        </w:rPr>
        <w:t xml:space="preserve"> billion. </w:t>
      </w:r>
      <w:r w:rsidR="004D579B">
        <w:rPr>
          <w:rFonts w:ascii="Times New Roman" w:hAnsi="Times New Roman" w:cs="Times New Roman"/>
        </w:rPr>
        <w:t xml:space="preserve"> </w:t>
      </w:r>
      <w:r w:rsidR="00E76E21" w:rsidRPr="00E76E21">
        <w:rPr>
          <w:rFonts w:ascii="Times New Roman" w:hAnsi="Times New Roman" w:cs="Times New Roman"/>
        </w:rPr>
        <w:t xml:space="preserve">There was a significant drop in demand for these materials in 2008-2009 due to the global recession and resultant economic slowdown. </w:t>
      </w:r>
      <w:r w:rsidR="00E76E21">
        <w:rPr>
          <w:rFonts w:ascii="Times New Roman" w:hAnsi="Times New Roman" w:cs="Times New Roman"/>
        </w:rPr>
        <w:t xml:space="preserve"> </w:t>
      </w:r>
      <w:r w:rsidR="00655903" w:rsidRPr="00563FA9">
        <w:rPr>
          <w:rFonts w:ascii="Times New Roman" w:hAnsi="Times New Roman" w:cs="Times New Roman"/>
        </w:rPr>
        <w:t>P</w:t>
      </w:r>
      <w:r w:rsidRPr="00563FA9">
        <w:rPr>
          <w:rFonts w:ascii="Times New Roman" w:hAnsi="Times New Roman" w:cs="Times New Roman"/>
        </w:rPr>
        <w:t>roduc</w:t>
      </w:r>
      <w:r w:rsidR="00655903" w:rsidRPr="00563FA9">
        <w:rPr>
          <w:rFonts w:ascii="Times New Roman" w:hAnsi="Times New Roman" w:cs="Times New Roman"/>
        </w:rPr>
        <w:t xml:space="preserve">tion was from </w:t>
      </w:r>
      <w:r w:rsidRPr="00563FA9">
        <w:rPr>
          <w:rFonts w:ascii="Times New Roman" w:hAnsi="Times New Roman" w:cs="Times New Roman"/>
        </w:rPr>
        <w:t>an estimated 4,100 companies and government agencies from about 6,300 operations</w:t>
      </w:r>
      <w:r w:rsidR="00444023" w:rsidRPr="00563FA9">
        <w:rPr>
          <w:rFonts w:ascii="Times New Roman" w:hAnsi="Times New Roman" w:cs="Times New Roman"/>
        </w:rPr>
        <w:t xml:space="preserve"> in 50 States</w:t>
      </w:r>
      <w:r w:rsidR="00DE77DE">
        <w:rPr>
          <w:rFonts w:ascii="Times New Roman" w:hAnsi="Times New Roman" w:cs="Times New Roman"/>
        </w:rPr>
        <w:t xml:space="preserve"> (Figure 1)</w:t>
      </w:r>
      <w:r w:rsidRPr="00563FA9">
        <w:rPr>
          <w:rFonts w:ascii="Times New Roman" w:hAnsi="Times New Roman" w:cs="Times New Roman"/>
        </w:rPr>
        <w:t xml:space="preserve">. </w:t>
      </w:r>
    </w:p>
    <w:p w14:paraId="2C9193E5" w14:textId="29A9093D" w:rsidR="00410ABB" w:rsidRDefault="009F5B57">
      <w:pPr>
        <w:rPr>
          <w:rFonts w:ascii="Times New Roman" w:hAnsi="Times New Roman" w:cs="Times New Roman"/>
        </w:rPr>
      </w:pPr>
      <w:r w:rsidRPr="00563FA9">
        <w:rPr>
          <w:rFonts w:ascii="Times New Roman" w:hAnsi="Times New Roman" w:cs="Times New Roman"/>
        </w:rPr>
        <w:t>It is estimated that about 44</w:t>
      </w:r>
      <w:r w:rsidR="00874CB0" w:rsidRPr="00563FA9">
        <w:rPr>
          <w:rFonts w:ascii="Times New Roman" w:hAnsi="Times New Roman" w:cs="Times New Roman"/>
        </w:rPr>
        <w:t xml:space="preserve"> percent</w:t>
      </w:r>
      <w:r w:rsidRPr="00563FA9">
        <w:rPr>
          <w:rFonts w:ascii="Times New Roman" w:hAnsi="Times New Roman" w:cs="Times New Roman"/>
        </w:rPr>
        <w:t xml:space="preserve"> of sand and gravel was used as concrete aggregates; 25</w:t>
      </w:r>
      <w:r w:rsidR="00874CB0" w:rsidRPr="00563FA9">
        <w:rPr>
          <w:rFonts w:ascii="Times New Roman" w:hAnsi="Times New Roman" w:cs="Times New Roman"/>
        </w:rPr>
        <w:t xml:space="preserve"> percent</w:t>
      </w:r>
      <w:r w:rsidRPr="00563FA9">
        <w:rPr>
          <w:rFonts w:ascii="Times New Roman" w:hAnsi="Times New Roman" w:cs="Times New Roman"/>
        </w:rPr>
        <w:t xml:space="preserve"> for road base and coverings and road stabilization; 13</w:t>
      </w:r>
      <w:r w:rsidR="00874CB0" w:rsidRPr="00563FA9">
        <w:rPr>
          <w:rFonts w:ascii="Times New Roman" w:hAnsi="Times New Roman" w:cs="Times New Roman"/>
        </w:rPr>
        <w:t xml:space="preserve"> percent</w:t>
      </w:r>
      <w:r w:rsidRPr="00563FA9">
        <w:rPr>
          <w:rFonts w:ascii="Times New Roman" w:hAnsi="Times New Roman" w:cs="Times New Roman"/>
        </w:rPr>
        <w:t xml:space="preserve"> as asphaltic concrete aggregates and other bituminous mixtures; 12</w:t>
      </w:r>
      <w:r w:rsidR="00874CB0" w:rsidRPr="00563FA9">
        <w:rPr>
          <w:rFonts w:ascii="Times New Roman" w:hAnsi="Times New Roman" w:cs="Times New Roman"/>
        </w:rPr>
        <w:t xml:space="preserve"> percent</w:t>
      </w:r>
      <w:r w:rsidRPr="00563FA9">
        <w:rPr>
          <w:rFonts w:ascii="Times New Roman" w:hAnsi="Times New Roman" w:cs="Times New Roman"/>
        </w:rPr>
        <w:t xml:space="preserve"> as construction fill; 1</w:t>
      </w:r>
      <w:r w:rsidR="00874CB0" w:rsidRPr="00563FA9">
        <w:rPr>
          <w:rFonts w:ascii="Times New Roman" w:hAnsi="Times New Roman" w:cs="Times New Roman"/>
        </w:rPr>
        <w:t xml:space="preserve"> percent</w:t>
      </w:r>
      <w:r w:rsidRPr="00563FA9">
        <w:rPr>
          <w:rFonts w:ascii="Times New Roman" w:hAnsi="Times New Roman" w:cs="Times New Roman"/>
        </w:rPr>
        <w:t xml:space="preserve"> each for concrete products, </w:t>
      </w:r>
      <w:r w:rsidRPr="00563FA9">
        <w:rPr>
          <w:rFonts w:ascii="Times New Roman" w:hAnsi="Times New Roman" w:cs="Times New Roman"/>
        </w:rPr>
        <w:lastRenderedPageBreak/>
        <w:t xml:space="preserve">such as blocks, bricks, and pipes; plaster and </w:t>
      </w:r>
      <w:proofErr w:type="spellStart"/>
      <w:r w:rsidRPr="00563FA9">
        <w:rPr>
          <w:rFonts w:ascii="Times New Roman" w:hAnsi="Times New Roman" w:cs="Times New Roman"/>
        </w:rPr>
        <w:t>gunite</w:t>
      </w:r>
      <w:proofErr w:type="spellEnd"/>
      <w:r w:rsidRPr="00563FA9">
        <w:rPr>
          <w:rFonts w:ascii="Times New Roman" w:hAnsi="Times New Roman" w:cs="Times New Roman"/>
        </w:rPr>
        <w:t xml:space="preserve"> sands; and snow and ice control; and the remaining 3</w:t>
      </w:r>
      <w:r w:rsidR="00874CB0" w:rsidRPr="00563FA9">
        <w:rPr>
          <w:rFonts w:ascii="Times New Roman" w:hAnsi="Times New Roman" w:cs="Times New Roman"/>
        </w:rPr>
        <w:t xml:space="preserve"> percent</w:t>
      </w:r>
      <w:r w:rsidRPr="00563FA9">
        <w:rPr>
          <w:rFonts w:ascii="Times New Roman" w:hAnsi="Times New Roman" w:cs="Times New Roman"/>
        </w:rPr>
        <w:t xml:space="preserve"> for filtration, golf courses, railroad ballast, roofing granules, and other miscellaneous uses.</w:t>
      </w:r>
    </w:p>
    <w:p w14:paraId="47848546" w14:textId="43275AEB" w:rsidR="00E34D7C" w:rsidRPr="004F1A15" w:rsidRDefault="00E34D7C">
      <w:pPr>
        <w:rPr>
          <w:rFonts w:ascii="Times New Roman" w:hAnsi="Times New Roman" w:cs="Times New Roman"/>
          <w:u w:val="single"/>
        </w:rPr>
      </w:pPr>
      <w:r w:rsidRPr="004F1A15">
        <w:rPr>
          <w:rFonts w:ascii="Times New Roman" w:hAnsi="Times New Roman" w:cs="Times New Roman"/>
          <w:u w:val="single"/>
        </w:rPr>
        <w:t>Crushed Stone</w:t>
      </w:r>
    </w:p>
    <w:p w14:paraId="1FA8C17E" w14:textId="22F29502" w:rsidR="00DE77DE" w:rsidRPr="00563FA9" w:rsidRDefault="00DE77DE" w:rsidP="00DE77DE">
      <w:pPr>
        <w:rPr>
          <w:rFonts w:ascii="Times New Roman" w:hAnsi="Times New Roman" w:cs="Times New Roman"/>
        </w:rPr>
      </w:pPr>
      <w:r>
        <w:rPr>
          <w:rFonts w:ascii="Times New Roman" w:hAnsi="Times New Roman" w:cs="Times New Roman"/>
        </w:rPr>
        <w:t>L</w:t>
      </w:r>
      <w:r w:rsidRPr="00563FA9">
        <w:rPr>
          <w:rFonts w:ascii="Times New Roman" w:hAnsi="Times New Roman" w:cs="Times New Roman"/>
        </w:rPr>
        <w:t xml:space="preserve">ike sand and gravel, crushed stone is used mostly for construction purposes and consumption is controlled by the demand for construction materials. </w:t>
      </w:r>
      <w:r w:rsidR="004D579B">
        <w:rPr>
          <w:rFonts w:ascii="Times New Roman" w:hAnsi="Times New Roman" w:cs="Times New Roman"/>
        </w:rPr>
        <w:t xml:space="preserve"> </w:t>
      </w:r>
      <w:r w:rsidRPr="00563FA9">
        <w:rPr>
          <w:rFonts w:ascii="Times New Roman" w:hAnsi="Times New Roman" w:cs="Times New Roman"/>
        </w:rPr>
        <w:t>Demand for construction materials increas</w:t>
      </w:r>
      <w:r>
        <w:rPr>
          <w:rFonts w:ascii="Times New Roman" w:hAnsi="Times New Roman" w:cs="Times New Roman"/>
        </w:rPr>
        <w:t>ed</w:t>
      </w:r>
      <w:r w:rsidRPr="00563FA9">
        <w:rPr>
          <w:rFonts w:ascii="Times New Roman" w:hAnsi="Times New Roman" w:cs="Times New Roman"/>
        </w:rPr>
        <w:t xml:space="preserve"> post World War II especially after the start of the construction of the Interstate Highway System in the 1950s. </w:t>
      </w:r>
      <w:r w:rsidR="004D579B">
        <w:rPr>
          <w:rFonts w:ascii="Times New Roman" w:hAnsi="Times New Roman" w:cs="Times New Roman"/>
        </w:rPr>
        <w:t xml:space="preserve"> </w:t>
      </w:r>
      <w:r w:rsidRPr="00563FA9">
        <w:rPr>
          <w:rFonts w:ascii="Times New Roman" w:hAnsi="Times New Roman" w:cs="Times New Roman"/>
        </w:rPr>
        <w:t>U.S. production of</w:t>
      </w:r>
      <w:r>
        <w:rPr>
          <w:rFonts w:ascii="Times New Roman" w:hAnsi="Times New Roman" w:cs="Times New Roman"/>
        </w:rPr>
        <w:t xml:space="preserve"> crushed stone recorded</w:t>
      </w:r>
      <w:r w:rsidRPr="00563FA9">
        <w:rPr>
          <w:rFonts w:ascii="Times New Roman" w:hAnsi="Times New Roman" w:cs="Times New Roman"/>
        </w:rPr>
        <w:t xml:space="preserve"> significant growth in the past 67 years, from 243 million metric tons in 1950 to 1.37 billion metric tons in 2016. </w:t>
      </w:r>
    </w:p>
    <w:p w14:paraId="2813C2CF" w14:textId="257DCD1E" w:rsidR="00DE77DE" w:rsidRPr="00563FA9" w:rsidRDefault="00DE77DE" w:rsidP="00DE77DE">
      <w:pPr>
        <w:rPr>
          <w:rFonts w:ascii="Times New Roman" w:hAnsi="Times New Roman" w:cs="Times New Roman"/>
        </w:rPr>
      </w:pPr>
      <w:r w:rsidRPr="00563FA9">
        <w:rPr>
          <w:rFonts w:ascii="Times New Roman" w:hAnsi="Times New Roman" w:cs="Times New Roman"/>
        </w:rPr>
        <w:t>In 2016, 1.37 billion tons of crushed stone valued at more than $15.2 billion was produced by 1,410 companies operating 3,500 quarries, and 101 underground mines in 49 States</w:t>
      </w:r>
      <w:r>
        <w:rPr>
          <w:rFonts w:ascii="Times New Roman" w:hAnsi="Times New Roman" w:cs="Times New Roman"/>
        </w:rPr>
        <w:t xml:space="preserve"> (Figure 2). </w:t>
      </w:r>
      <w:r w:rsidR="004D579B">
        <w:rPr>
          <w:rFonts w:ascii="Times New Roman" w:hAnsi="Times New Roman" w:cs="Times New Roman"/>
        </w:rPr>
        <w:t xml:space="preserve"> </w:t>
      </w:r>
      <w:r w:rsidRPr="00563FA9">
        <w:rPr>
          <w:rFonts w:ascii="Times New Roman" w:hAnsi="Times New Roman" w:cs="Times New Roman"/>
        </w:rPr>
        <w:t xml:space="preserve">Ten States account for more than one-half of the total amount of crushed </w:t>
      </w:r>
      <w:r w:rsidR="003F638E">
        <w:rPr>
          <w:rFonts w:ascii="Times New Roman" w:hAnsi="Times New Roman" w:cs="Times New Roman"/>
        </w:rPr>
        <w:t xml:space="preserve">stone </w:t>
      </w:r>
      <w:r w:rsidRPr="00563FA9">
        <w:rPr>
          <w:rFonts w:ascii="Times New Roman" w:hAnsi="Times New Roman" w:cs="Times New Roman"/>
        </w:rPr>
        <w:t xml:space="preserve">produced in the U.S. annually. </w:t>
      </w:r>
      <w:r w:rsidR="004D579B">
        <w:rPr>
          <w:rFonts w:ascii="Times New Roman" w:hAnsi="Times New Roman" w:cs="Times New Roman"/>
        </w:rPr>
        <w:t xml:space="preserve"> </w:t>
      </w:r>
      <w:r w:rsidRPr="00563FA9">
        <w:rPr>
          <w:rFonts w:ascii="Times New Roman" w:hAnsi="Times New Roman" w:cs="Times New Roman"/>
        </w:rPr>
        <w:t xml:space="preserve">Of the total crushed stone produced annually, about 70 percent was limestone and dolomite. </w:t>
      </w:r>
      <w:r w:rsidR="004D579B">
        <w:rPr>
          <w:rFonts w:ascii="Times New Roman" w:hAnsi="Times New Roman" w:cs="Times New Roman"/>
        </w:rPr>
        <w:t xml:space="preserve"> </w:t>
      </w:r>
      <w:r w:rsidRPr="00563FA9">
        <w:rPr>
          <w:rFonts w:ascii="Times New Roman" w:hAnsi="Times New Roman" w:cs="Times New Roman"/>
        </w:rPr>
        <w:t>It is estimated that 76 percent of the crushed stone consumed was used as construction material, mostly for road construction and maintenance</w:t>
      </w:r>
      <w:r w:rsidR="00D76C80">
        <w:rPr>
          <w:rFonts w:ascii="Times New Roman" w:hAnsi="Times New Roman" w:cs="Times New Roman"/>
        </w:rPr>
        <w:t xml:space="preserve"> with another</w:t>
      </w:r>
      <w:r w:rsidRPr="00563FA9">
        <w:rPr>
          <w:rFonts w:ascii="Times New Roman" w:hAnsi="Times New Roman" w:cs="Times New Roman"/>
        </w:rPr>
        <w:t xml:space="preserve"> 11 percent for cement manufacturing.</w:t>
      </w:r>
    </w:p>
    <w:p w14:paraId="3AF75FDE" w14:textId="77777777" w:rsidR="00DE77DE" w:rsidRPr="00563FA9" w:rsidRDefault="00DE77DE">
      <w:pPr>
        <w:rPr>
          <w:rFonts w:ascii="Times New Roman" w:hAnsi="Times New Roman" w:cs="Times New Roman"/>
        </w:rPr>
      </w:pPr>
    </w:p>
    <w:p w14:paraId="041E30FE" w14:textId="3832E65C" w:rsidR="00181335" w:rsidRDefault="00410ABB" w:rsidP="005D5EC6">
      <w:pPr>
        <w:rPr>
          <w:rFonts w:ascii="Times New Roman" w:hAnsi="Times New Roman" w:cs="Times New Roman"/>
          <w:b/>
        </w:rPr>
      </w:pPr>
      <w:r>
        <w:rPr>
          <w:rFonts w:ascii="Times New Roman" w:hAnsi="Times New Roman" w:cs="Times New Roman"/>
          <w:b/>
          <w:noProof/>
          <w:lang w:eastAsia="en-US"/>
        </w:rPr>
        <w:drawing>
          <wp:inline distT="0" distB="0" distL="0" distR="0" wp14:anchorId="780DAC1B" wp14:editId="26CA2C52">
            <wp:extent cx="5486400" cy="4239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Gravel figure.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72DAD8B0" w14:textId="4227EADD" w:rsidR="00DE77DE" w:rsidRPr="004F1A15" w:rsidRDefault="00DE77DE" w:rsidP="005D5EC6">
      <w:pPr>
        <w:rPr>
          <w:rFonts w:ascii="Times New Roman" w:hAnsi="Times New Roman" w:cs="Times New Roman"/>
        </w:rPr>
      </w:pPr>
      <w:proofErr w:type="gramStart"/>
      <w:r w:rsidRPr="004F1A15">
        <w:rPr>
          <w:rFonts w:ascii="Times New Roman" w:hAnsi="Times New Roman" w:cs="Times New Roman"/>
        </w:rPr>
        <w:t>Figure 1.</w:t>
      </w:r>
      <w:proofErr w:type="gramEnd"/>
      <w:r w:rsidRPr="004F1A15">
        <w:rPr>
          <w:rFonts w:ascii="Times New Roman" w:hAnsi="Times New Roman" w:cs="Times New Roman"/>
        </w:rPr>
        <w:t xml:space="preserve"> </w:t>
      </w:r>
      <w:proofErr w:type="gramStart"/>
      <w:r w:rsidRPr="004F1A15">
        <w:rPr>
          <w:rFonts w:ascii="Times New Roman" w:hAnsi="Times New Roman" w:cs="Times New Roman"/>
        </w:rPr>
        <w:t>Sand and gravel production across the United States showing the locations of operation (black dots) and value of production by State.</w:t>
      </w:r>
      <w:proofErr w:type="gramEnd"/>
      <w:r w:rsidRPr="004F1A15">
        <w:rPr>
          <w:rFonts w:ascii="Times New Roman" w:hAnsi="Times New Roman" w:cs="Times New Roman"/>
        </w:rPr>
        <w:t xml:space="preserve"> </w:t>
      </w:r>
      <w:proofErr w:type="gramStart"/>
      <w:r w:rsidRPr="004F1A15">
        <w:rPr>
          <w:rFonts w:ascii="Times New Roman" w:hAnsi="Times New Roman" w:cs="Times New Roman"/>
        </w:rPr>
        <w:t>Data from the USGS.</w:t>
      </w:r>
      <w:proofErr w:type="gramEnd"/>
    </w:p>
    <w:p w14:paraId="350FDE52" w14:textId="77777777" w:rsidR="00E34D7C" w:rsidRDefault="00E34D7C" w:rsidP="00563FA9">
      <w:pPr>
        <w:rPr>
          <w:rFonts w:ascii="Times New Roman" w:hAnsi="Times New Roman" w:cs="Times New Roman"/>
          <w:b/>
        </w:rPr>
      </w:pPr>
    </w:p>
    <w:p w14:paraId="06C044E9" w14:textId="77777777" w:rsidR="00DE77DE" w:rsidRDefault="00181335" w:rsidP="005D5EC6">
      <w:pPr>
        <w:rPr>
          <w:rFonts w:ascii="Times New Roman" w:hAnsi="Times New Roman" w:cs="Times New Roman"/>
          <w:b/>
        </w:rPr>
      </w:pPr>
      <w:r>
        <w:rPr>
          <w:noProof/>
          <w:lang w:eastAsia="en-US"/>
        </w:rPr>
        <w:drawing>
          <wp:inline distT="0" distB="0" distL="0" distR="0" wp14:anchorId="35FC9D16" wp14:editId="5A2E8E9B">
            <wp:extent cx="5486400" cy="42636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63683"/>
                    </a:xfrm>
                    <a:prstGeom prst="rect">
                      <a:avLst/>
                    </a:prstGeom>
                  </pic:spPr>
                </pic:pic>
              </a:graphicData>
            </a:graphic>
          </wp:inline>
        </w:drawing>
      </w:r>
    </w:p>
    <w:p w14:paraId="08853ABB" w14:textId="1FD54B37" w:rsidR="00DE77DE" w:rsidRPr="00B65030" w:rsidRDefault="00DE77DE" w:rsidP="00DE77DE">
      <w:pPr>
        <w:rPr>
          <w:rFonts w:ascii="Times New Roman" w:hAnsi="Times New Roman" w:cs="Times New Roman"/>
        </w:rPr>
      </w:pPr>
      <w:proofErr w:type="gramStart"/>
      <w:r>
        <w:rPr>
          <w:rFonts w:ascii="Times New Roman" w:hAnsi="Times New Roman" w:cs="Times New Roman"/>
        </w:rPr>
        <w:t>Figure 2</w:t>
      </w:r>
      <w:r w:rsidRPr="00B65030">
        <w:rPr>
          <w:rFonts w:ascii="Times New Roman" w:hAnsi="Times New Roman" w:cs="Times New Roman"/>
        </w:rPr>
        <w:t>.</w:t>
      </w:r>
      <w:proofErr w:type="gramEnd"/>
      <w:r w:rsidRPr="00B65030">
        <w:rPr>
          <w:rFonts w:ascii="Times New Roman" w:hAnsi="Times New Roman" w:cs="Times New Roman"/>
        </w:rPr>
        <w:t xml:space="preserve"> </w:t>
      </w:r>
      <w:proofErr w:type="gramStart"/>
      <w:r>
        <w:rPr>
          <w:rFonts w:ascii="Times New Roman" w:hAnsi="Times New Roman" w:cs="Times New Roman"/>
        </w:rPr>
        <w:t>Crushed stone</w:t>
      </w:r>
      <w:r w:rsidRPr="00B65030">
        <w:rPr>
          <w:rFonts w:ascii="Times New Roman" w:hAnsi="Times New Roman" w:cs="Times New Roman"/>
        </w:rPr>
        <w:t xml:space="preserve"> production across the United States showing the locations of operation (black dots) and value of production by State.</w:t>
      </w:r>
      <w:proofErr w:type="gramEnd"/>
      <w:r w:rsidRPr="00B65030">
        <w:rPr>
          <w:rFonts w:ascii="Times New Roman" w:hAnsi="Times New Roman" w:cs="Times New Roman"/>
        </w:rPr>
        <w:t xml:space="preserve"> </w:t>
      </w:r>
      <w:proofErr w:type="gramStart"/>
      <w:r w:rsidRPr="00B65030">
        <w:rPr>
          <w:rFonts w:ascii="Times New Roman" w:hAnsi="Times New Roman" w:cs="Times New Roman"/>
        </w:rPr>
        <w:t>Data from the USGS.</w:t>
      </w:r>
      <w:proofErr w:type="gramEnd"/>
    </w:p>
    <w:p w14:paraId="5CD96323" w14:textId="77777777" w:rsidR="009E0CD5" w:rsidRPr="004F1A15" w:rsidRDefault="009E0CD5" w:rsidP="006F30AD">
      <w:pPr>
        <w:spacing w:after="0"/>
        <w:rPr>
          <w:rFonts w:ascii="Times New Roman" w:hAnsi="Times New Roman" w:cs="Times New Roman"/>
          <w:u w:val="single"/>
        </w:rPr>
      </w:pPr>
      <w:r w:rsidRPr="004F1A15">
        <w:rPr>
          <w:rFonts w:ascii="Times New Roman" w:hAnsi="Times New Roman" w:cs="Times New Roman"/>
          <w:u w:val="single"/>
        </w:rPr>
        <w:t>Hydraulic cement</w:t>
      </w:r>
    </w:p>
    <w:p w14:paraId="653807A8" w14:textId="77777777" w:rsidR="009E0CD5" w:rsidRDefault="009E0CD5" w:rsidP="006F30AD">
      <w:pPr>
        <w:spacing w:after="0"/>
        <w:rPr>
          <w:rFonts w:ascii="Times New Roman" w:hAnsi="Times New Roman" w:cs="Times New Roman"/>
          <w:b/>
        </w:rPr>
      </w:pPr>
    </w:p>
    <w:p w14:paraId="70E313B8" w14:textId="07242FF0" w:rsidR="006F30AD" w:rsidRPr="00563FA9" w:rsidRDefault="004C4B5F" w:rsidP="006F30AD">
      <w:pPr>
        <w:spacing w:after="0"/>
        <w:rPr>
          <w:rFonts w:ascii="Times New Roman" w:hAnsi="Times New Roman" w:cs="Times New Roman"/>
        </w:rPr>
      </w:pPr>
      <w:r w:rsidRPr="00563FA9">
        <w:rPr>
          <w:rFonts w:ascii="Times New Roman" w:hAnsi="Times New Roman" w:cs="Times New Roman"/>
        </w:rPr>
        <w:t xml:space="preserve">Crushed </w:t>
      </w:r>
      <w:r>
        <w:rPr>
          <w:rFonts w:ascii="Times New Roman" w:hAnsi="Times New Roman" w:cs="Times New Roman"/>
        </w:rPr>
        <w:t>limestone</w:t>
      </w:r>
      <w:r w:rsidRPr="00563FA9">
        <w:rPr>
          <w:rFonts w:ascii="Times New Roman" w:hAnsi="Times New Roman" w:cs="Times New Roman"/>
        </w:rPr>
        <w:t xml:space="preserve"> is used to make clinker </w:t>
      </w:r>
      <w:r>
        <w:rPr>
          <w:rFonts w:ascii="Times New Roman" w:hAnsi="Times New Roman" w:cs="Times New Roman"/>
        </w:rPr>
        <w:t xml:space="preserve">that is used for cement </w:t>
      </w:r>
      <w:r w:rsidRPr="00563FA9">
        <w:rPr>
          <w:rFonts w:ascii="Times New Roman" w:hAnsi="Times New Roman" w:cs="Times New Roman"/>
        </w:rPr>
        <w:t>and as an additive to bulk out hydraulic cement, to make certain types of blended cement, or to make most forms of masonry cement.</w:t>
      </w:r>
      <w:r w:rsidRPr="009E0CD5">
        <w:rPr>
          <w:rFonts w:ascii="Times New Roman" w:hAnsi="Times New Roman" w:cs="Times New Roman"/>
        </w:rPr>
        <w:t xml:space="preserve"> </w:t>
      </w:r>
      <w:r w:rsidR="004D579B">
        <w:rPr>
          <w:rFonts w:ascii="Times New Roman" w:hAnsi="Times New Roman" w:cs="Times New Roman"/>
        </w:rPr>
        <w:t xml:space="preserve"> </w:t>
      </w:r>
      <w:r w:rsidR="00DA4CEE" w:rsidRPr="00563FA9">
        <w:rPr>
          <w:rFonts w:ascii="Times New Roman" w:hAnsi="Times New Roman" w:cs="Times New Roman"/>
        </w:rPr>
        <w:t>Cement is produced in the United States at about 100 plants, in 32 states</w:t>
      </w:r>
      <w:r w:rsidR="00181335">
        <w:rPr>
          <w:rFonts w:ascii="Times New Roman" w:hAnsi="Times New Roman" w:cs="Times New Roman"/>
        </w:rPr>
        <w:t xml:space="preserve"> </w:t>
      </w:r>
      <w:r w:rsidR="009E0CD5">
        <w:rPr>
          <w:rFonts w:ascii="Times New Roman" w:hAnsi="Times New Roman" w:cs="Times New Roman"/>
        </w:rPr>
        <w:t>(Figure 3)</w:t>
      </w:r>
      <w:r w:rsidR="00DA4CEE" w:rsidRPr="00563FA9">
        <w:rPr>
          <w:rFonts w:ascii="Times New Roman" w:hAnsi="Times New Roman" w:cs="Times New Roman"/>
        </w:rPr>
        <w:t xml:space="preserve">. </w:t>
      </w:r>
      <w:r w:rsidR="004D579B">
        <w:rPr>
          <w:rFonts w:ascii="Times New Roman" w:hAnsi="Times New Roman" w:cs="Times New Roman"/>
        </w:rPr>
        <w:t xml:space="preserve"> </w:t>
      </w:r>
      <w:r w:rsidR="00BE21C9" w:rsidRPr="00563FA9">
        <w:rPr>
          <w:rFonts w:ascii="Times New Roman" w:hAnsi="Times New Roman" w:cs="Times New Roman"/>
        </w:rPr>
        <w:t xml:space="preserve">Hydraulic cements (chiefly </w:t>
      </w:r>
      <w:r w:rsidR="00ED0FD2">
        <w:rPr>
          <w:rFonts w:ascii="Times New Roman" w:hAnsi="Times New Roman" w:cs="Times New Roman"/>
        </w:rPr>
        <w:t>P</w:t>
      </w:r>
      <w:r w:rsidR="00BE21C9" w:rsidRPr="00563FA9">
        <w:rPr>
          <w:rFonts w:ascii="Times New Roman" w:hAnsi="Times New Roman" w:cs="Times New Roman"/>
        </w:rPr>
        <w:t xml:space="preserve">ortland cement or similar types that are based on </w:t>
      </w:r>
      <w:r w:rsidR="00ED0FD2">
        <w:rPr>
          <w:rFonts w:ascii="Times New Roman" w:hAnsi="Times New Roman" w:cs="Times New Roman"/>
        </w:rPr>
        <w:t>P</w:t>
      </w:r>
      <w:r w:rsidR="00BE21C9" w:rsidRPr="00563FA9">
        <w:rPr>
          <w:rFonts w:ascii="Times New Roman" w:hAnsi="Times New Roman" w:cs="Times New Roman"/>
        </w:rPr>
        <w:t xml:space="preserve">ortland cement) are the binding agents in hydraulic cement concrete (concrete) and in most types of mortars and stuccos. </w:t>
      </w:r>
      <w:r w:rsidR="004D579B">
        <w:rPr>
          <w:rFonts w:ascii="Times New Roman" w:hAnsi="Times New Roman" w:cs="Times New Roman"/>
        </w:rPr>
        <w:t xml:space="preserve"> </w:t>
      </w:r>
      <w:r w:rsidR="00BE21C9" w:rsidRPr="00563FA9">
        <w:rPr>
          <w:rFonts w:ascii="Times New Roman" w:hAnsi="Times New Roman" w:cs="Times New Roman"/>
        </w:rPr>
        <w:t xml:space="preserve">The term “hydraulic” refers to the fact that the cement sets (stiffens), hardens, and develops strength through the chemical combination of its component compounds (“minerals”) with water; i.e., through hydration. </w:t>
      </w:r>
      <w:r w:rsidR="00D0297B">
        <w:rPr>
          <w:rFonts w:ascii="Times New Roman" w:hAnsi="Times New Roman" w:cs="Times New Roman"/>
        </w:rPr>
        <w:t xml:space="preserve"> </w:t>
      </w:r>
      <w:r w:rsidR="006F30AD" w:rsidRPr="00563FA9">
        <w:rPr>
          <w:rFonts w:ascii="Times New Roman" w:hAnsi="Times New Roman" w:cs="Times New Roman"/>
        </w:rPr>
        <w:t>It is widely used in infrastructure as bases and subbases for roads, road paving, bridge abutments, pillars, and decks</w:t>
      </w:r>
      <w:r w:rsidR="003F638E">
        <w:rPr>
          <w:rFonts w:ascii="Times New Roman" w:hAnsi="Times New Roman" w:cs="Times New Roman"/>
        </w:rPr>
        <w:t>;</w:t>
      </w:r>
      <w:r w:rsidR="006F30AD" w:rsidRPr="00563FA9">
        <w:rPr>
          <w:rFonts w:ascii="Times New Roman" w:hAnsi="Times New Roman" w:cs="Times New Roman"/>
        </w:rPr>
        <w:t xml:space="preserve"> pipes and culverts</w:t>
      </w:r>
      <w:r w:rsidR="003F638E">
        <w:rPr>
          <w:rFonts w:ascii="Times New Roman" w:hAnsi="Times New Roman" w:cs="Times New Roman"/>
        </w:rPr>
        <w:t>;</w:t>
      </w:r>
      <w:r w:rsidR="006F30AD" w:rsidRPr="00563FA9">
        <w:rPr>
          <w:rFonts w:ascii="Times New Roman" w:hAnsi="Times New Roman" w:cs="Times New Roman"/>
        </w:rPr>
        <w:t xml:space="preserve"> dams</w:t>
      </w:r>
      <w:r w:rsidR="003F638E">
        <w:rPr>
          <w:rFonts w:ascii="Times New Roman" w:hAnsi="Times New Roman" w:cs="Times New Roman"/>
        </w:rPr>
        <w:t>;</w:t>
      </w:r>
      <w:r w:rsidR="006F30AD" w:rsidRPr="00563FA9">
        <w:rPr>
          <w:rFonts w:ascii="Times New Roman" w:hAnsi="Times New Roman" w:cs="Times New Roman"/>
        </w:rPr>
        <w:t xml:space="preserve"> and soil stabilization</w:t>
      </w:r>
      <w:r w:rsidR="003F638E">
        <w:rPr>
          <w:rFonts w:ascii="Times New Roman" w:hAnsi="Times New Roman" w:cs="Times New Roman"/>
        </w:rPr>
        <w:t>,</w:t>
      </w:r>
      <w:r w:rsidR="005F1253">
        <w:rPr>
          <w:rFonts w:ascii="Times New Roman" w:hAnsi="Times New Roman" w:cs="Times New Roman"/>
        </w:rPr>
        <w:t xml:space="preserve"> as well as in building construction</w:t>
      </w:r>
      <w:r w:rsidR="006F30AD" w:rsidRPr="00563FA9">
        <w:rPr>
          <w:rFonts w:ascii="Times New Roman" w:hAnsi="Times New Roman" w:cs="Times New Roman"/>
        </w:rPr>
        <w:t>.</w:t>
      </w:r>
    </w:p>
    <w:p w14:paraId="57AC6D46" w14:textId="77777777" w:rsidR="00813BAD" w:rsidRPr="00563FA9" w:rsidRDefault="00813BAD" w:rsidP="006F30AD">
      <w:pPr>
        <w:spacing w:after="0"/>
        <w:rPr>
          <w:rFonts w:ascii="Times New Roman" w:hAnsi="Times New Roman" w:cs="Times New Roman"/>
        </w:rPr>
      </w:pPr>
    </w:p>
    <w:p w14:paraId="6844CD5A" w14:textId="47A19417" w:rsidR="006F30AD" w:rsidRDefault="0013287E" w:rsidP="006F30AD">
      <w:pPr>
        <w:spacing w:after="0"/>
        <w:rPr>
          <w:rFonts w:ascii="Times New Roman" w:hAnsi="Times New Roman" w:cs="Times New Roman"/>
        </w:rPr>
      </w:pPr>
      <w:r>
        <w:rPr>
          <w:rFonts w:ascii="Times New Roman" w:hAnsi="Times New Roman" w:cs="Times New Roman"/>
        </w:rPr>
        <w:t>Limestone is the primary raw material</w:t>
      </w:r>
      <w:r w:rsidR="006F30AD" w:rsidRPr="00563FA9">
        <w:rPr>
          <w:rFonts w:ascii="Times New Roman" w:hAnsi="Times New Roman" w:cs="Times New Roman"/>
        </w:rPr>
        <w:t xml:space="preserve"> for cement (clinker) manufacturing</w:t>
      </w:r>
      <w:r>
        <w:rPr>
          <w:rFonts w:ascii="Times New Roman" w:hAnsi="Times New Roman" w:cs="Times New Roman"/>
        </w:rPr>
        <w:t xml:space="preserve">. </w:t>
      </w:r>
      <w:r w:rsidR="00D0297B">
        <w:rPr>
          <w:rFonts w:ascii="Times New Roman" w:hAnsi="Times New Roman" w:cs="Times New Roman"/>
        </w:rPr>
        <w:t xml:space="preserve"> </w:t>
      </w:r>
      <w:r>
        <w:rPr>
          <w:rFonts w:ascii="Times New Roman" w:hAnsi="Times New Roman" w:cs="Times New Roman"/>
        </w:rPr>
        <w:t>Limestone is</w:t>
      </w:r>
      <w:r w:rsidR="006F30AD" w:rsidRPr="00563FA9">
        <w:rPr>
          <w:rFonts w:ascii="Times New Roman" w:hAnsi="Times New Roman" w:cs="Times New Roman"/>
        </w:rPr>
        <w:t xml:space="preserve"> geologically abundant and </w:t>
      </w:r>
      <w:r>
        <w:rPr>
          <w:rFonts w:ascii="Times New Roman" w:hAnsi="Times New Roman" w:cs="Times New Roman"/>
        </w:rPr>
        <w:t xml:space="preserve">generally </w:t>
      </w:r>
      <w:r w:rsidR="006F30AD" w:rsidRPr="00563FA9">
        <w:rPr>
          <w:rFonts w:ascii="Times New Roman" w:hAnsi="Times New Roman" w:cs="Times New Roman"/>
        </w:rPr>
        <w:t>widespread</w:t>
      </w:r>
      <w:r w:rsidR="00021F29">
        <w:rPr>
          <w:rFonts w:ascii="Times New Roman" w:hAnsi="Times New Roman" w:cs="Times New Roman"/>
        </w:rPr>
        <w:t xml:space="preserve">. </w:t>
      </w:r>
      <w:r w:rsidR="00D0297B">
        <w:rPr>
          <w:rFonts w:ascii="Times New Roman" w:hAnsi="Times New Roman" w:cs="Times New Roman"/>
        </w:rPr>
        <w:t xml:space="preserve"> </w:t>
      </w:r>
      <w:r w:rsidR="00021F29">
        <w:rPr>
          <w:rFonts w:ascii="Times New Roman" w:hAnsi="Times New Roman" w:cs="Times New Roman"/>
        </w:rPr>
        <w:t>T</w:t>
      </w:r>
      <w:r w:rsidR="00021F29" w:rsidRPr="00563FA9">
        <w:rPr>
          <w:rFonts w:ascii="Times New Roman" w:hAnsi="Times New Roman" w:cs="Times New Roman"/>
        </w:rPr>
        <w:t xml:space="preserve">he low unit value of limestone generally precludes the material being transported long distances unless inexpensive water transportation is available. </w:t>
      </w:r>
      <w:r w:rsidR="00021F29">
        <w:rPr>
          <w:rFonts w:ascii="Times New Roman" w:hAnsi="Times New Roman" w:cs="Times New Roman"/>
        </w:rPr>
        <w:t xml:space="preserve"> T</w:t>
      </w:r>
      <w:r>
        <w:rPr>
          <w:rFonts w:ascii="Times New Roman" w:hAnsi="Times New Roman" w:cs="Times New Roman"/>
        </w:rPr>
        <w:t>here are portions of the country that lack</w:t>
      </w:r>
      <w:r w:rsidR="00D00994">
        <w:rPr>
          <w:rFonts w:ascii="Times New Roman" w:hAnsi="Times New Roman" w:cs="Times New Roman"/>
        </w:rPr>
        <w:t xml:space="preserve"> significant limestone such as much of New England, the northern tier (Minnesota, North Dakota, Wisconsin), large portions of the northwest </w:t>
      </w:r>
      <w:r w:rsidR="00D00994">
        <w:rPr>
          <w:rFonts w:ascii="Times New Roman" w:hAnsi="Times New Roman" w:cs="Times New Roman"/>
        </w:rPr>
        <w:lastRenderedPageBreak/>
        <w:t xml:space="preserve">(northern California, Oregon, and Washington), and the border area of south Texas where </w:t>
      </w:r>
      <w:r w:rsidR="00021F29">
        <w:rPr>
          <w:rFonts w:ascii="Times New Roman" w:hAnsi="Times New Roman" w:cs="Times New Roman"/>
        </w:rPr>
        <w:t xml:space="preserve">limestone </w:t>
      </w:r>
      <w:r w:rsidR="00D00994">
        <w:rPr>
          <w:rFonts w:ascii="Times New Roman" w:hAnsi="Times New Roman" w:cs="Times New Roman"/>
        </w:rPr>
        <w:t xml:space="preserve">must be imported (Figure 3). </w:t>
      </w:r>
      <w:r w:rsidR="00D0297B">
        <w:rPr>
          <w:rFonts w:ascii="Times New Roman" w:hAnsi="Times New Roman" w:cs="Times New Roman"/>
        </w:rPr>
        <w:t xml:space="preserve"> </w:t>
      </w:r>
      <w:r w:rsidR="00D00994">
        <w:rPr>
          <w:rFonts w:ascii="Times New Roman" w:hAnsi="Times New Roman" w:cs="Times New Roman"/>
        </w:rPr>
        <w:t>Even in areas with significant lime</w:t>
      </w:r>
      <w:r w:rsidR="00021F29">
        <w:rPr>
          <w:rFonts w:ascii="Times New Roman" w:hAnsi="Times New Roman" w:cs="Times New Roman"/>
        </w:rPr>
        <w:t>s</w:t>
      </w:r>
      <w:r w:rsidR="00D00994">
        <w:rPr>
          <w:rFonts w:ascii="Times New Roman" w:hAnsi="Times New Roman" w:cs="Times New Roman"/>
        </w:rPr>
        <w:t>tone</w:t>
      </w:r>
      <w:r w:rsidR="00021F29">
        <w:rPr>
          <w:rFonts w:ascii="Times New Roman" w:hAnsi="Times New Roman" w:cs="Times New Roman"/>
        </w:rPr>
        <w:t>,</w:t>
      </w:r>
      <w:r w:rsidR="00D00994">
        <w:rPr>
          <w:rFonts w:ascii="Times New Roman" w:hAnsi="Times New Roman" w:cs="Times New Roman"/>
        </w:rPr>
        <w:t xml:space="preserve"> </w:t>
      </w:r>
      <w:r w:rsidR="006F30AD" w:rsidRPr="00563FA9">
        <w:rPr>
          <w:rFonts w:ascii="Times New Roman" w:hAnsi="Times New Roman" w:cs="Times New Roman"/>
        </w:rPr>
        <w:t>reserves may be limited at specific (older) cement plants</w:t>
      </w:r>
      <w:r w:rsidR="00021F29">
        <w:rPr>
          <w:rFonts w:ascii="Times New Roman" w:hAnsi="Times New Roman" w:cs="Times New Roman"/>
        </w:rPr>
        <w:t xml:space="preserve"> and </w:t>
      </w:r>
      <w:r w:rsidR="006F30AD" w:rsidRPr="00563FA9">
        <w:rPr>
          <w:rFonts w:ascii="Times New Roman" w:hAnsi="Times New Roman" w:cs="Times New Roman"/>
        </w:rPr>
        <w:t>a cement plant may face constraints on its limestone reserves if the plant-quarry complex is being encroached upon by housing</w:t>
      </w:r>
      <w:r w:rsidR="00813BAD" w:rsidRPr="00563FA9">
        <w:rPr>
          <w:rFonts w:ascii="Times New Roman" w:hAnsi="Times New Roman" w:cs="Times New Roman"/>
        </w:rPr>
        <w:t>,</w:t>
      </w:r>
      <w:r w:rsidR="006F30AD" w:rsidRPr="00563FA9">
        <w:rPr>
          <w:rFonts w:ascii="Times New Roman" w:hAnsi="Times New Roman" w:cs="Times New Roman"/>
        </w:rPr>
        <w:t xml:space="preserve"> if land costs </w:t>
      </w:r>
      <w:r w:rsidR="00813BAD" w:rsidRPr="00563FA9">
        <w:rPr>
          <w:rFonts w:ascii="Times New Roman" w:hAnsi="Times New Roman" w:cs="Times New Roman"/>
        </w:rPr>
        <w:t>are high</w:t>
      </w:r>
      <w:r w:rsidR="006F30AD" w:rsidRPr="00563FA9">
        <w:rPr>
          <w:rFonts w:ascii="Times New Roman" w:hAnsi="Times New Roman" w:cs="Times New Roman"/>
        </w:rPr>
        <w:t xml:space="preserve">, or because of zoning prohibitions. </w:t>
      </w:r>
    </w:p>
    <w:p w14:paraId="237125CA" w14:textId="77777777" w:rsidR="004C4B5F" w:rsidRDefault="004C4B5F" w:rsidP="006F30AD">
      <w:pPr>
        <w:spacing w:after="0"/>
        <w:rPr>
          <w:rFonts w:ascii="Times New Roman" w:hAnsi="Times New Roman" w:cs="Times New Roman"/>
        </w:rPr>
      </w:pPr>
    </w:p>
    <w:p w14:paraId="23FC82F3" w14:textId="77777777" w:rsidR="005F1253" w:rsidRDefault="005F1253" w:rsidP="00181335">
      <w:pPr>
        <w:contextualSpacing/>
        <w:rPr>
          <w:rFonts w:ascii="Times New Roman" w:hAnsi="Times New Roman" w:cs="Times New Roman"/>
          <w:u w:val="single"/>
          <w:lang w:val="x-none" w:eastAsia="x-none"/>
        </w:rPr>
      </w:pPr>
      <w:r w:rsidRPr="004F1A15">
        <w:rPr>
          <w:rFonts w:ascii="Times New Roman" w:hAnsi="Times New Roman" w:cs="Times New Roman"/>
          <w:u w:val="single"/>
          <w:lang w:val="x-none" w:eastAsia="x-none"/>
        </w:rPr>
        <w:t>Iron and steel</w:t>
      </w:r>
    </w:p>
    <w:p w14:paraId="129B8C7D" w14:textId="77777777" w:rsidR="00181335" w:rsidRPr="00563FA9" w:rsidRDefault="00181335" w:rsidP="00181335">
      <w:pPr>
        <w:contextualSpacing/>
        <w:rPr>
          <w:rFonts w:ascii="Times New Roman" w:hAnsi="Times New Roman" w:cs="Times New Roman"/>
          <w:szCs w:val="20"/>
        </w:rPr>
      </w:pPr>
    </w:p>
    <w:p w14:paraId="2A301250" w14:textId="0DB2F185" w:rsidR="00DE77DE" w:rsidRDefault="00D4264C" w:rsidP="004F1A15">
      <w:pPr>
        <w:contextualSpacing/>
        <w:rPr>
          <w:rFonts w:ascii="Times New Roman" w:hAnsi="Times New Roman" w:cs="Times New Roman"/>
          <w:szCs w:val="20"/>
        </w:rPr>
      </w:pPr>
      <w:r>
        <w:rPr>
          <w:rFonts w:ascii="Times New Roman" w:hAnsi="Times New Roman" w:cs="Times New Roman"/>
        </w:rPr>
        <w:t xml:space="preserve">Iron or steel </w:t>
      </w:r>
      <w:r w:rsidR="009E0CD5" w:rsidRPr="00563FA9">
        <w:rPr>
          <w:rFonts w:ascii="Times New Roman" w:hAnsi="Times New Roman" w:cs="Times New Roman"/>
        </w:rPr>
        <w:t xml:space="preserve">reinforcing rods or bars (rebar) or mesh are embedded </w:t>
      </w:r>
      <w:r>
        <w:rPr>
          <w:rFonts w:ascii="Times New Roman" w:hAnsi="Times New Roman" w:cs="Times New Roman"/>
        </w:rPr>
        <w:t xml:space="preserve">in cement </w:t>
      </w:r>
      <w:r w:rsidR="009E0CD5" w:rsidRPr="00563FA9">
        <w:rPr>
          <w:rFonts w:ascii="Times New Roman" w:hAnsi="Times New Roman" w:cs="Times New Roman"/>
        </w:rPr>
        <w:t>to provide adequate tensional strength in most forms of concrete construction; this combination is called reinforced concrete.</w:t>
      </w:r>
      <w:r>
        <w:rPr>
          <w:rFonts w:ascii="Times New Roman" w:hAnsi="Times New Roman" w:cs="Times New Roman"/>
        </w:rPr>
        <w:t xml:space="preserve"> </w:t>
      </w:r>
      <w:r w:rsidR="00D0297B">
        <w:rPr>
          <w:rFonts w:ascii="Times New Roman" w:hAnsi="Times New Roman" w:cs="Times New Roman"/>
        </w:rPr>
        <w:t xml:space="preserve"> </w:t>
      </w:r>
      <w:r>
        <w:rPr>
          <w:rFonts w:ascii="Times New Roman" w:hAnsi="Times New Roman" w:cs="Times New Roman"/>
          <w:color w:val="000000"/>
        </w:rPr>
        <w:t>C</w:t>
      </w:r>
      <w:r>
        <w:rPr>
          <w:rFonts w:ascii="Times New Roman" w:hAnsi="Times New Roman" w:cs="Times New Roman"/>
          <w:color w:val="000000"/>
          <w:szCs w:val="20"/>
        </w:rPr>
        <w:t>onstruction products are</w:t>
      </w:r>
      <w:r w:rsidRPr="00563FA9">
        <w:rPr>
          <w:rFonts w:ascii="Times New Roman" w:hAnsi="Times New Roman" w:cs="Times New Roman"/>
          <w:color w:val="000000"/>
          <w:szCs w:val="20"/>
        </w:rPr>
        <w:t xml:space="preserve"> the leading single end-use market for steel</w:t>
      </w:r>
      <w:r w:rsidRPr="00563FA9">
        <w:rPr>
          <w:rFonts w:ascii="Times New Roman" w:hAnsi="Times New Roman" w:cs="Times New Roman"/>
        </w:rPr>
        <w:t xml:space="preserve"> </w:t>
      </w:r>
      <w:r>
        <w:rPr>
          <w:rFonts w:ascii="Times New Roman" w:hAnsi="Times New Roman" w:cs="Times New Roman"/>
        </w:rPr>
        <w:t xml:space="preserve">in the United States. </w:t>
      </w:r>
      <w:r w:rsidR="00D0297B">
        <w:rPr>
          <w:rFonts w:ascii="Times New Roman" w:hAnsi="Times New Roman" w:cs="Times New Roman"/>
        </w:rPr>
        <w:t xml:space="preserve"> </w:t>
      </w:r>
      <w:r w:rsidR="00181335" w:rsidRPr="00563FA9">
        <w:rPr>
          <w:rFonts w:ascii="Times New Roman" w:hAnsi="Times New Roman" w:cs="Times New Roman"/>
        </w:rPr>
        <w:t xml:space="preserve">The iron and steel industry and ferrous foundries </w:t>
      </w:r>
      <w:r>
        <w:rPr>
          <w:rFonts w:ascii="Times New Roman" w:hAnsi="Times New Roman" w:cs="Times New Roman"/>
        </w:rPr>
        <w:t xml:space="preserve">in the United States </w:t>
      </w:r>
      <w:r w:rsidR="00181335" w:rsidRPr="00563FA9">
        <w:rPr>
          <w:rFonts w:ascii="Times New Roman" w:hAnsi="Times New Roman" w:cs="Times New Roman"/>
        </w:rPr>
        <w:t xml:space="preserve">produced goods in 2016 with an estimated value of about $130 billion. </w:t>
      </w:r>
      <w:r w:rsidR="00D0297B">
        <w:rPr>
          <w:rFonts w:ascii="Times New Roman" w:hAnsi="Times New Roman" w:cs="Times New Roman"/>
        </w:rPr>
        <w:t xml:space="preserve"> </w:t>
      </w:r>
      <w:r w:rsidR="00181335" w:rsidRPr="00563FA9">
        <w:rPr>
          <w:rFonts w:ascii="Times New Roman" w:hAnsi="Times New Roman" w:cs="Times New Roman"/>
        </w:rPr>
        <w:t xml:space="preserve">Pig iron was produced by three companies operating integrated steel mills in 11 locations. </w:t>
      </w:r>
      <w:r w:rsidR="00D0297B">
        <w:rPr>
          <w:rFonts w:ascii="Times New Roman" w:hAnsi="Times New Roman" w:cs="Times New Roman"/>
        </w:rPr>
        <w:t xml:space="preserve"> </w:t>
      </w:r>
      <w:r w:rsidR="00181335" w:rsidRPr="00563FA9">
        <w:rPr>
          <w:rFonts w:ascii="Times New Roman" w:hAnsi="Times New Roman" w:cs="Times New Roman"/>
        </w:rPr>
        <w:t xml:space="preserve">About 55 companies produce raw steel at 108 </w:t>
      </w:r>
      <w:proofErr w:type="spellStart"/>
      <w:r w:rsidR="00181335" w:rsidRPr="00563FA9">
        <w:rPr>
          <w:rFonts w:ascii="Times New Roman" w:hAnsi="Times New Roman" w:cs="Times New Roman"/>
        </w:rPr>
        <w:t>minimills</w:t>
      </w:r>
      <w:proofErr w:type="spellEnd"/>
      <w:r w:rsidR="00181335" w:rsidRPr="00563FA9">
        <w:rPr>
          <w:rFonts w:ascii="Times New Roman" w:hAnsi="Times New Roman" w:cs="Times New Roman"/>
        </w:rPr>
        <w:t xml:space="preserve">. </w:t>
      </w:r>
      <w:r w:rsidR="00D0297B">
        <w:rPr>
          <w:rFonts w:ascii="Times New Roman" w:hAnsi="Times New Roman" w:cs="Times New Roman"/>
        </w:rPr>
        <w:t xml:space="preserve"> </w:t>
      </w:r>
      <w:r w:rsidR="00181335" w:rsidRPr="00563FA9">
        <w:rPr>
          <w:rFonts w:ascii="Times New Roman" w:hAnsi="Times New Roman" w:cs="Times New Roman"/>
        </w:rPr>
        <w:t xml:space="preserve">Combined production capacity was about 111 million tons. </w:t>
      </w:r>
      <w:r w:rsidR="00D0297B">
        <w:rPr>
          <w:rFonts w:ascii="Times New Roman" w:hAnsi="Times New Roman" w:cs="Times New Roman"/>
        </w:rPr>
        <w:t xml:space="preserve"> </w:t>
      </w:r>
      <w:r w:rsidR="00181335" w:rsidRPr="00563FA9">
        <w:rPr>
          <w:rFonts w:ascii="Times New Roman" w:hAnsi="Times New Roman" w:cs="Times New Roman"/>
        </w:rPr>
        <w:t xml:space="preserve">Indiana accounted for 29% of total raw steel production, followed by Ohio, 11%; Michigan, 7%; and Pennsylvania, 6%, with no other State having more than 5% of total domestic raw steel production. </w:t>
      </w:r>
    </w:p>
    <w:p w14:paraId="113B42EF" w14:textId="77777777" w:rsidR="00DE77DE" w:rsidRDefault="00DE77DE" w:rsidP="00181335">
      <w:pPr>
        <w:spacing w:after="0"/>
        <w:rPr>
          <w:rFonts w:ascii="Times New Roman" w:hAnsi="Times New Roman" w:cs="Times New Roman"/>
          <w:szCs w:val="20"/>
        </w:rPr>
      </w:pPr>
    </w:p>
    <w:p w14:paraId="31C8C0A2" w14:textId="77777777" w:rsidR="00181335" w:rsidRDefault="00181335" w:rsidP="00181335">
      <w:pPr>
        <w:spacing w:after="0"/>
        <w:rPr>
          <w:rFonts w:ascii="Times New Roman" w:hAnsi="Times New Roman" w:cs="Times New Roman"/>
        </w:rPr>
      </w:pPr>
    </w:p>
    <w:p w14:paraId="6B3A7FB0" w14:textId="36C2A2E6" w:rsidR="00181335" w:rsidRDefault="00181335" w:rsidP="006F30AD">
      <w:pPr>
        <w:spacing w:after="0"/>
        <w:rPr>
          <w:rFonts w:ascii="Times New Roman" w:hAnsi="Times New Roman" w:cs="Times New Roman"/>
        </w:rPr>
      </w:pPr>
      <w:r>
        <w:rPr>
          <w:noProof/>
          <w:lang w:eastAsia="en-US"/>
        </w:rPr>
        <w:drawing>
          <wp:inline distT="0" distB="0" distL="0" distR="0" wp14:anchorId="63F022B3" wp14:editId="17E1FC70">
            <wp:extent cx="5486400" cy="4096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096043"/>
                    </a:xfrm>
                    <a:prstGeom prst="rect">
                      <a:avLst/>
                    </a:prstGeom>
                  </pic:spPr>
                </pic:pic>
              </a:graphicData>
            </a:graphic>
          </wp:inline>
        </w:drawing>
      </w:r>
    </w:p>
    <w:p w14:paraId="1EC3A96C" w14:textId="3753FC78" w:rsidR="004C4B5F" w:rsidRPr="00B65030" w:rsidRDefault="004C4B5F" w:rsidP="004C4B5F">
      <w:pPr>
        <w:rPr>
          <w:rFonts w:ascii="Times New Roman" w:hAnsi="Times New Roman" w:cs="Times New Roman"/>
        </w:rPr>
      </w:pPr>
      <w:proofErr w:type="gramStart"/>
      <w:r>
        <w:rPr>
          <w:rFonts w:ascii="Times New Roman" w:hAnsi="Times New Roman" w:cs="Times New Roman"/>
        </w:rPr>
        <w:t>Figure 3</w:t>
      </w:r>
      <w:r w:rsidRPr="00B65030">
        <w:rPr>
          <w:rFonts w:ascii="Times New Roman" w:hAnsi="Times New Roman" w:cs="Times New Roman"/>
        </w:rPr>
        <w:t>.</w:t>
      </w:r>
      <w:proofErr w:type="gramEnd"/>
      <w:r w:rsidRPr="00B65030">
        <w:rPr>
          <w:rFonts w:ascii="Times New Roman" w:hAnsi="Times New Roman" w:cs="Times New Roman"/>
        </w:rPr>
        <w:t xml:space="preserve"> </w:t>
      </w:r>
      <w:r>
        <w:rPr>
          <w:rFonts w:ascii="Times New Roman" w:hAnsi="Times New Roman" w:cs="Times New Roman"/>
        </w:rPr>
        <w:t xml:space="preserve">Map showing the location of cement plants and counties producing construction sand and gravel and crushed stone. </w:t>
      </w:r>
      <w:proofErr w:type="gramStart"/>
      <w:r w:rsidRPr="00B65030">
        <w:rPr>
          <w:rFonts w:ascii="Times New Roman" w:hAnsi="Times New Roman" w:cs="Times New Roman"/>
        </w:rPr>
        <w:t>Data from the USGS.</w:t>
      </w:r>
      <w:proofErr w:type="gramEnd"/>
    </w:p>
    <w:p w14:paraId="64F4DEA1" w14:textId="77777777" w:rsidR="004C4B5F" w:rsidRPr="00563FA9" w:rsidRDefault="004C4B5F" w:rsidP="006F30AD">
      <w:pPr>
        <w:spacing w:after="0"/>
        <w:rPr>
          <w:rFonts w:ascii="Times New Roman" w:hAnsi="Times New Roman" w:cs="Times New Roman"/>
        </w:rPr>
      </w:pPr>
    </w:p>
    <w:p w14:paraId="2760757B" w14:textId="77777777" w:rsidR="00DA4CEE" w:rsidRPr="00563FA9" w:rsidRDefault="00DA4CEE" w:rsidP="00DA4CEE">
      <w:pPr>
        <w:tabs>
          <w:tab w:val="left" w:pos="1719"/>
        </w:tabs>
        <w:contextualSpacing/>
        <w:rPr>
          <w:rFonts w:ascii="Times New Roman" w:hAnsi="Times New Roman" w:cs="Times New Roman"/>
          <w:b/>
          <w:lang w:eastAsia="x-none"/>
        </w:rPr>
      </w:pPr>
    </w:p>
    <w:p w14:paraId="5739F35F" w14:textId="77777777" w:rsidR="007A3383" w:rsidRDefault="007A3383" w:rsidP="00DA4CEE">
      <w:pPr>
        <w:tabs>
          <w:tab w:val="left" w:pos="0"/>
          <w:tab w:val="left" w:pos="244"/>
          <w:tab w:val="right" w:pos="4593"/>
          <w:tab w:val="right" w:pos="6044"/>
          <w:tab w:val="right" w:pos="8100"/>
          <w:tab w:val="right" w:pos="9528"/>
        </w:tabs>
        <w:contextualSpacing/>
        <w:rPr>
          <w:rFonts w:ascii="Times New Roman" w:hAnsi="Times New Roman" w:cs="Times New Roman"/>
          <w:szCs w:val="20"/>
        </w:rPr>
      </w:pPr>
    </w:p>
    <w:p w14:paraId="653A758D" w14:textId="33FE3D3A" w:rsidR="007A3383" w:rsidRPr="004F1A15" w:rsidRDefault="00D4264C" w:rsidP="00DA4CEE">
      <w:pPr>
        <w:tabs>
          <w:tab w:val="left" w:pos="0"/>
          <w:tab w:val="left" w:pos="244"/>
          <w:tab w:val="right" w:pos="4593"/>
          <w:tab w:val="right" w:pos="6044"/>
          <w:tab w:val="right" w:pos="8100"/>
          <w:tab w:val="right" w:pos="9528"/>
        </w:tabs>
        <w:contextualSpacing/>
        <w:rPr>
          <w:rFonts w:ascii="Times New Roman" w:hAnsi="Times New Roman" w:cs="Times New Roman"/>
          <w:szCs w:val="20"/>
          <w:u w:val="single"/>
        </w:rPr>
      </w:pPr>
      <w:r w:rsidRPr="004F1A15">
        <w:rPr>
          <w:rFonts w:ascii="Times New Roman" w:hAnsi="Times New Roman" w:cs="Times New Roman"/>
          <w:szCs w:val="20"/>
          <w:u w:val="single"/>
        </w:rPr>
        <w:t>Other materials</w:t>
      </w:r>
    </w:p>
    <w:p w14:paraId="58A35CC7" w14:textId="77777777" w:rsidR="00DA4CEE" w:rsidRPr="00563FA9" w:rsidRDefault="00DA4CEE" w:rsidP="00DA4CEE">
      <w:pPr>
        <w:contextualSpacing/>
        <w:rPr>
          <w:rFonts w:ascii="Times New Roman" w:hAnsi="Times New Roman" w:cs="Times New Roman"/>
          <w:color w:val="000000"/>
          <w:szCs w:val="20"/>
        </w:rPr>
      </w:pPr>
    </w:p>
    <w:p w14:paraId="257AA578" w14:textId="4AF26C48" w:rsidR="006F30AD" w:rsidRDefault="007A3383" w:rsidP="006F30AD">
      <w:pPr>
        <w:spacing w:after="0"/>
        <w:rPr>
          <w:rFonts w:ascii="Times New Roman" w:hAnsi="Times New Roman" w:cs="Times New Roman"/>
          <w:color w:val="000000"/>
          <w:szCs w:val="20"/>
        </w:rPr>
      </w:pPr>
      <w:r>
        <w:rPr>
          <w:rFonts w:ascii="Times New Roman" w:hAnsi="Times New Roman" w:cs="Times New Roman"/>
          <w:color w:val="000000"/>
          <w:szCs w:val="20"/>
        </w:rPr>
        <w:t>Asphalt substitutes for hydraulic cement in many road applications</w:t>
      </w:r>
      <w:r w:rsidR="005F1253">
        <w:rPr>
          <w:rFonts w:ascii="Times New Roman" w:hAnsi="Times New Roman" w:cs="Times New Roman"/>
          <w:color w:val="000000"/>
          <w:szCs w:val="20"/>
        </w:rPr>
        <w:t xml:space="preserve">. </w:t>
      </w:r>
      <w:r w:rsidR="00D0297B">
        <w:rPr>
          <w:rFonts w:ascii="Times New Roman" w:hAnsi="Times New Roman" w:cs="Times New Roman"/>
          <w:color w:val="000000"/>
          <w:szCs w:val="20"/>
        </w:rPr>
        <w:t xml:space="preserve"> </w:t>
      </w:r>
      <w:r w:rsidR="005F1253">
        <w:rPr>
          <w:rFonts w:ascii="Times New Roman" w:hAnsi="Times New Roman" w:cs="Times New Roman"/>
          <w:color w:val="000000"/>
          <w:szCs w:val="20"/>
        </w:rPr>
        <w:t>However,</w:t>
      </w:r>
      <w:r>
        <w:rPr>
          <w:rFonts w:ascii="Times New Roman" w:hAnsi="Times New Roman" w:cs="Times New Roman"/>
          <w:color w:val="000000"/>
          <w:szCs w:val="20"/>
        </w:rPr>
        <w:t xml:space="preserve"> </w:t>
      </w:r>
      <w:r w:rsidR="005F1253">
        <w:rPr>
          <w:rFonts w:ascii="Times New Roman" w:hAnsi="Times New Roman" w:cs="Times New Roman"/>
          <w:color w:val="000000"/>
          <w:szCs w:val="20"/>
        </w:rPr>
        <w:t xml:space="preserve">the </w:t>
      </w:r>
      <w:r>
        <w:rPr>
          <w:rFonts w:ascii="Times New Roman" w:hAnsi="Times New Roman" w:cs="Times New Roman"/>
          <w:color w:val="000000"/>
          <w:szCs w:val="20"/>
        </w:rPr>
        <w:t xml:space="preserve">USGS does not collect data on its production and consumption. </w:t>
      </w:r>
      <w:r w:rsidR="00D0297B">
        <w:rPr>
          <w:rFonts w:ascii="Times New Roman" w:hAnsi="Times New Roman" w:cs="Times New Roman"/>
          <w:color w:val="000000"/>
          <w:szCs w:val="20"/>
        </w:rPr>
        <w:t xml:space="preserve"> </w:t>
      </w:r>
      <w:r>
        <w:rPr>
          <w:rFonts w:ascii="Times New Roman" w:hAnsi="Times New Roman" w:cs="Times New Roman"/>
          <w:color w:val="000000"/>
          <w:szCs w:val="20"/>
        </w:rPr>
        <w:t xml:space="preserve">Other mineral materials important for road construction but </w:t>
      </w:r>
      <w:r w:rsidR="00D4264C">
        <w:rPr>
          <w:rFonts w:ascii="Times New Roman" w:hAnsi="Times New Roman" w:cs="Times New Roman"/>
          <w:color w:val="000000"/>
          <w:szCs w:val="20"/>
        </w:rPr>
        <w:t xml:space="preserve">utilized </w:t>
      </w:r>
      <w:r>
        <w:rPr>
          <w:rFonts w:ascii="Times New Roman" w:hAnsi="Times New Roman" w:cs="Times New Roman"/>
          <w:color w:val="000000"/>
          <w:szCs w:val="20"/>
        </w:rPr>
        <w:t xml:space="preserve">in much smaller quantities include aluminum, clays, gypsum, lime, magnesium compounds, manganese, nickel, and tungsten. </w:t>
      </w:r>
      <w:r w:rsidR="00D0297B">
        <w:rPr>
          <w:rFonts w:ascii="Times New Roman" w:hAnsi="Times New Roman" w:cs="Times New Roman"/>
          <w:color w:val="000000"/>
          <w:szCs w:val="20"/>
        </w:rPr>
        <w:t xml:space="preserve"> </w:t>
      </w:r>
      <w:r>
        <w:rPr>
          <w:rFonts w:ascii="Times New Roman" w:hAnsi="Times New Roman" w:cs="Times New Roman"/>
          <w:color w:val="000000"/>
          <w:szCs w:val="20"/>
        </w:rPr>
        <w:t xml:space="preserve">Some of these materials are used as additives in concrete and for soil stabilization. </w:t>
      </w:r>
      <w:r w:rsidR="00D0297B">
        <w:rPr>
          <w:rFonts w:ascii="Times New Roman" w:hAnsi="Times New Roman" w:cs="Times New Roman"/>
          <w:color w:val="000000"/>
          <w:szCs w:val="20"/>
        </w:rPr>
        <w:t xml:space="preserve"> </w:t>
      </w:r>
      <w:r>
        <w:rPr>
          <w:rFonts w:ascii="Times New Roman" w:hAnsi="Times New Roman" w:cs="Times New Roman"/>
          <w:color w:val="000000"/>
          <w:szCs w:val="20"/>
        </w:rPr>
        <w:t>Others may be used as alloying agents in the steel used for reinforced concrete.</w:t>
      </w:r>
      <w:r w:rsidR="005F1253">
        <w:rPr>
          <w:rFonts w:ascii="Times New Roman" w:hAnsi="Times New Roman" w:cs="Times New Roman"/>
          <w:color w:val="000000"/>
          <w:szCs w:val="20"/>
        </w:rPr>
        <w:t xml:space="preserve"> </w:t>
      </w:r>
      <w:r w:rsidR="00D0297B">
        <w:rPr>
          <w:rFonts w:ascii="Times New Roman" w:hAnsi="Times New Roman" w:cs="Times New Roman"/>
          <w:color w:val="000000"/>
          <w:szCs w:val="20"/>
        </w:rPr>
        <w:t xml:space="preserve"> </w:t>
      </w:r>
      <w:r w:rsidR="005F1253">
        <w:rPr>
          <w:rFonts w:ascii="Times New Roman" w:hAnsi="Times New Roman" w:cs="Times New Roman"/>
          <w:color w:val="000000"/>
          <w:szCs w:val="20"/>
        </w:rPr>
        <w:t>Data on the production and consumption of these materials are collected by the USGS.</w:t>
      </w:r>
    </w:p>
    <w:p w14:paraId="3ABF7E66" w14:textId="77777777" w:rsidR="00847ADD" w:rsidRDefault="00847ADD" w:rsidP="006F30AD">
      <w:pPr>
        <w:spacing w:after="0"/>
        <w:rPr>
          <w:rFonts w:ascii="Times New Roman" w:hAnsi="Times New Roman" w:cs="Times New Roman"/>
          <w:b/>
          <w:color w:val="000000"/>
          <w:szCs w:val="20"/>
        </w:rPr>
      </w:pPr>
    </w:p>
    <w:p w14:paraId="08063A46" w14:textId="3A45138D" w:rsidR="00847ADD" w:rsidRPr="00A50EC2" w:rsidRDefault="00D4264C" w:rsidP="006F30AD">
      <w:pPr>
        <w:spacing w:after="0"/>
        <w:rPr>
          <w:rFonts w:ascii="Times New Roman" w:hAnsi="Times New Roman" w:cs="Times New Roman"/>
          <w:b/>
          <w:color w:val="000000"/>
          <w:szCs w:val="20"/>
        </w:rPr>
      </w:pPr>
      <w:r w:rsidRPr="00A50EC2">
        <w:rPr>
          <w:rFonts w:ascii="Times New Roman" w:hAnsi="Times New Roman" w:cs="Times New Roman"/>
          <w:b/>
          <w:color w:val="000000"/>
          <w:szCs w:val="20"/>
        </w:rPr>
        <w:t>Topographic and Geological M</w:t>
      </w:r>
      <w:r w:rsidR="00847ADD" w:rsidRPr="00A50EC2">
        <w:rPr>
          <w:rFonts w:ascii="Times New Roman" w:hAnsi="Times New Roman" w:cs="Times New Roman"/>
          <w:b/>
          <w:color w:val="000000"/>
          <w:szCs w:val="20"/>
        </w:rPr>
        <w:t>apping</w:t>
      </w:r>
      <w:r w:rsidRPr="00A50EC2">
        <w:rPr>
          <w:rFonts w:ascii="Times New Roman" w:hAnsi="Times New Roman" w:cs="Times New Roman"/>
          <w:b/>
          <w:color w:val="000000"/>
          <w:szCs w:val="20"/>
        </w:rPr>
        <w:t xml:space="preserve"> and Geophysical Surveys</w:t>
      </w:r>
    </w:p>
    <w:p w14:paraId="71F632F1" w14:textId="77777777" w:rsidR="00847ADD" w:rsidRDefault="00847ADD" w:rsidP="006F30AD">
      <w:pPr>
        <w:spacing w:after="0"/>
        <w:rPr>
          <w:rFonts w:ascii="Times New Roman" w:hAnsi="Times New Roman" w:cs="Times New Roman"/>
          <w:color w:val="000000"/>
          <w:szCs w:val="20"/>
        </w:rPr>
      </w:pPr>
    </w:p>
    <w:p w14:paraId="541E438E" w14:textId="34DE330E" w:rsidR="00D4264C" w:rsidRPr="00D0297B" w:rsidRDefault="00D4264C" w:rsidP="00D4264C">
      <w:pPr>
        <w:rPr>
          <w:rFonts w:ascii="Times New Roman" w:hAnsi="Times New Roman" w:cs="Times New Roman"/>
        </w:rPr>
      </w:pPr>
      <w:r w:rsidRPr="00D0297B">
        <w:rPr>
          <w:rFonts w:ascii="Times New Roman" w:hAnsi="Times New Roman" w:cs="Times New Roman"/>
          <w:color w:val="000000"/>
          <w:szCs w:val="20"/>
        </w:rPr>
        <w:t xml:space="preserve">Construction requires </w:t>
      </w:r>
      <w:proofErr w:type="gramStart"/>
      <w:r w:rsidRPr="00D0297B">
        <w:rPr>
          <w:rFonts w:ascii="Times New Roman" w:hAnsi="Times New Roman" w:cs="Times New Roman"/>
          <w:color w:val="000000"/>
          <w:szCs w:val="20"/>
        </w:rPr>
        <w:t>a knowledge</w:t>
      </w:r>
      <w:proofErr w:type="gramEnd"/>
      <w:r w:rsidRPr="00D0297B">
        <w:rPr>
          <w:rFonts w:ascii="Times New Roman" w:hAnsi="Times New Roman" w:cs="Times New Roman"/>
          <w:color w:val="000000"/>
          <w:szCs w:val="20"/>
        </w:rPr>
        <w:t xml:space="preserve"> of the topography of the area in which the activity will occur.  </w:t>
      </w:r>
      <w:r w:rsidRPr="00D0297B">
        <w:rPr>
          <w:rFonts w:ascii="Times New Roman" w:hAnsi="Times New Roman" w:cs="Times New Roman"/>
        </w:rPr>
        <w:t xml:space="preserve">The USGS </w:t>
      </w:r>
      <w:r w:rsidR="00161720" w:rsidRPr="00D0297B">
        <w:rPr>
          <w:rFonts w:ascii="Times New Roman" w:hAnsi="Times New Roman" w:cs="Times New Roman"/>
        </w:rPr>
        <w:t xml:space="preserve">has mapped the nation’s topography for over a century and </w:t>
      </w:r>
      <w:r w:rsidRPr="00D0297B">
        <w:rPr>
          <w:rFonts w:ascii="Times New Roman" w:hAnsi="Times New Roman" w:cs="Times New Roman"/>
        </w:rPr>
        <w:t xml:space="preserve">is </w:t>
      </w:r>
      <w:r w:rsidR="00161720" w:rsidRPr="00D0297B">
        <w:rPr>
          <w:rFonts w:ascii="Times New Roman" w:hAnsi="Times New Roman" w:cs="Times New Roman"/>
        </w:rPr>
        <w:t xml:space="preserve">leading an interagency </w:t>
      </w:r>
      <w:r w:rsidRPr="00D0297B">
        <w:rPr>
          <w:rFonts w:ascii="Times New Roman" w:hAnsi="Times New Roman" w:cs="Times New Roman"/>
        </w:rPr>
        <w:t>effort to collect modern, highly accurate topographic data through its 3D Elevation Program</w:t>
      </w:r>
      <w:r w:rsidR="00161720" w:rsidRPr="00D0297B">
        <w:rPr>
          <w:rFonts w:ascii="Times New Roman" w:hAnsi="Times New Roman" w:cs="Times New Roman"/>
        </w:rPr>
        <w:t xml:space="preserve"> (3DEP)</w:t>
      </w:r>
      <w:r w:rsidRPr="00D0297B">
        <w:rPr>
          <w:rFonts w:ascii="Times New Roman" w:hAnsi="Times New Roman" w:cs="Times New Roman"/>
        </w:rPr>
        <w:t xml:space="preserve">.  </w:t>
      </w:r>
      <w:r w:rsidR="009103B4">
        <w:rPr>
          <w:rFonts w:ascii="Times New Roman" w:hAnsi="Times New Roman" w:cs="Times New Roman"/>
        </w:rPr>
        <w:t>T</w:t>
      </w:r>
      <w:r w:rsidRPr="00D0297B">
        <w:rPr>
          <w:rFonts w:ascii="Times New Roman" w:hAnsi="Times New Roman" w:cs="Times New Roman"/>
        </w:rPr>
        <w:t xml:space="preserve">his program </w:t>
      </w:r>
      <w:r w:rsidR="009103B4">
        <w:rPr>
          <w:rFonts w:ascii="Times New Roman" w:hAnsi="Times New Roman" w:cs="Times New Roman"/>
        </w:rPr>
        <w:t>coordinates the collection of</w:t>
      </w:r>
      <w:r w:rsidRPr="00D0297B">
        <w:rPr>
          <w:rFonts w:ascii="Times New Roman" w:hAnsi="Times New Roman" w:cs="Times New Roman"/>
        </w:rPr>
        <w:t xml:space="preserve"> elevation data with far more detail than previously available.  These elevation data and resulting topographic maps are</w:t>
      </w:r>
      <w:r w:rsidR="009D141F" w:rsidRPr="00D0297B">
        <w:rPr>
          <w:rFonts w:ascii="Times New Roman" w:hAnsi="Times New Roman" w:cs="Times New Roman"/>
        </w:rPr>
        <w:t xml:space="preserve"> necessary to ensure smart, cost effective construction</w:t>
      </w:r>
      <w:r w:rsidRPr="00D0297B">
        <w:rPr>
          <w:rFonts w:ascii="Times New Roman" w:hAnsi="Times New Roman" w:cs="Times New Roman"/>
        </w:rPr>
        <w:t xml:space="preserve">.  </w:t>
      </w:r>
    </w:p>
    <w:p w14:paraId="10E023AA" w14:textId="5130E264" w:rsidR="00FC7CAD" w:rsidRPr="00D0297B" w:rsidRDefault="009D141F" w:rsidP="00847ADD">
      <w:pPr>
        <w:rPr>
          <w:rFonts w:ascii="Times New Roman" w:hAnsi="Times New Roman" w:cs="Times New Roman"/>
        </w:rPr>
      </w:pPr>
      <w:r w:rsidRPr="00D0297B">
        <w:rPr>
          <w:rFonts w:ascii="Times New Roman" w:hAnsi="Times New Roman" w:cs="Times New Roman"/>
          <w:color w:val="000000"/>
          <w:szCs w:val="20"/>
        </w:rPr>
        <w:t>Geological maps</w:t>
      </w:r>
      <w:r w:rsidR="00847ADD" w:rsidRPr="00D0297B">
        <w:rPr>
          <w:rFonts w:ascii="Times New Roman" w:hAnsi="Times New Roman" w:cs="Times New Roman"/>
          <w:color w:val="000000"/>
          <w:szCs w:val="20"/>
        </w:rPr>
        <w:t xml:space="preserve"> are </w:t>
      </w:r>
      <w:r w:rsidRPr="00D0297B">
        <w:rPr>
          <w:rFonts w:ascii="Times New Roman" w:hAnsi="Times New Roman" w:cs="Times New Roman"/>
          <w:color w:val="000000"/>
          <w:szCs w:val="20"/>
        </w:rPr>
        <w:t>the</w:t>
      </w:r>
      <w:r w:rsidR="00847ADD" w:rsidRPr="00D0297B">
        <w:rPr>
          <w:rFonts w:ascii="Times New Roman" w:hAnsi="Times New Roman" w:cs="Times New Roman"/>
          <w:color w:val="000000"/>
          <w:szCs w:val="20"/>
        </w:rPr>
        <w:t xml:space="preserve"> primary source of information about </w:t>
      </w:r>
      <w:r w:rsidRPr="00D0297B">
        <w:rPr>
          <w:rFonts w:ascii="Times New Roman" w:hAnsi="Times New Roman" w:cs="Times New Roman"/>
          <w:color w:val="000000"/>
          <w:szCs w:val="20"/>
        </w:rPr>
        <w:t xml:space="preserve">the location of </w:t>
      </w:r>
      <w:r w:rsidR="00847ADD" w:rsidRPr="00D0297B">
        <w:rPr>
          <w:rFonts w:ascii="Times New Roman" w:hAnsi="Times New Roman" w:cs="Times New Roman"/>
          <w:color w:val="000000"/>
          <w:szCs w:val="20"/>
        </w:rPr>
        <w:t>materials needed for infrastructure</w:t>
      </w:r>
      <w:r w:rsidRPr="00D0297B">
        <w:rPr>
          <w:rFonts w:ascii="Times New Roman" w:hAnsi="Times New Roman" w:cs="Times New Roman"/>
          <w:color w:val="000000"/>
          <w:szCs w:val="20"/>
        </w:rPr>
        <w:t xml:space="preserve"> construction</w:t>
      </w:r>
      <w:r w:rsidR="00847ADD" w:rsidRPr="00D0297B">
        <w:rPr>
          <w:rFonts w:ascii="Times New Roman" w:hAnsi="Times New Roman" w:cs="Times New Roman"/>
          <w:color w:val="000000"/>
          <w:szCs w:val="20"/>
        </w:rPr>
        <w:t xml:space="preserve">. </w:t>
      </w:r>
      <w:r w:rsidR="00D0297B" w:rsidRPr="00D0297B">
        <w:rPr>
          <w:rFonts w:ascii="Times New Roman" w:hAnsi="Times New Roman" w:cs="Times New Roman"/>
          <w:color w:val="000000"/>
          <w:szCs w:val="20"/>
        </w:rPr>
        <w:t xml:space="preserve"> </w:t>
      </w:r>
      <w:r w:rsidR="00847ADD" w:rsidRPr="00D0297B">
        <w:rPr>
          <w:rFonts w:ascii="Times New Roman" w:hAnsi="Times New Roman" w:cs="Times New Roman"/>
          <w:color w:val="000000"/>
          <w:szCs w:val="20"/>
        </w:rPr>
        <w:t xml:space="preserve">Although geologic maps have been produced since the founding of the USGS in 1879, many recent </w:t>
      </w:r>
      <w:r w:rsidR="005F1253" w:rsidRPr="00D0297B">
        <w:rPr>
          <w:rFonts w:ascii="Times New Roman" w:hAnsi="Times New Roman" w:cs="Times New Roman"/>
          <w:color w:val="000000"/>
          <w:szCs w:val="20"/>
        </w:rPr>
        <w:t xml:space="preserve">USGS geological </w:t>
      </w:r>
      <w:r w:rsidR="00847ADD" w:rsidRPr="00D0297B">
        <w:rPr>
          <w:rFonts w:ascii="Times New Roman" w:hAnsi="Times New Roman" w:cs="Times New Roman"/>
          <w:color w:val="000000"/>
          <w:szCs w:val="20"/>
        </w:rPr>
        <w:t xml:space="preserve">maps are produced in conjunction with state geological surveys through the National Cooperative Geologic </w:t>
      </w:r>
      <w:r w:rsidR="00847ADD" w:rsidRPr="00D0297B">
        <w:rPr>
          <w:rFonts w:ascii="Times New Roman" w:hAnsi="Times New Roman" w:cs="Times New Roman"/>
        </w:rPr>
        <w:t xml:space="preserve">Mapping Program (NCGMP) that supports cooperative agreements with State Geological Surveys. </w:t>
      </w:r>
      <w:r w:rsidR="007D642B" w:rsidRPr="00D0297B">
        <w:rPr>
          <w:rFonts w:ascii="Times New Roman" w:hAnsi="Times New Roman" w:cs="Times New Roman"/>
        </w:rPr>
        <w:t xml:space="preserve"> </w:t>
      </w:r>
      <w:r w:rsidR="00847ADD" w:rsidRPr="00D0297B">
        <w:rPr>
          <w:rFonts w:ascii="Times New Roman" w:hAnsi="Times New Roman" w:cs="Times New Roman"/>
        </w:rPr>
        <w:t xml:space="preserve">State mapping priorities are defined by State Advisory Committees that represent a broad spectrum of State interests.  </w:t>
      </w:r>
    </w:p>
    <w:p w14:paraId="79D64444" w14:textId="0DA1EB98" w:rsidR="00890946" w:rsidRPr="00D0297B" w:rsidRDefault="00847ADD" w:rsidP="00847ADD">
      <w:pPr>
        <w:rPr>
          <w:rFonts w:ascii="Times New Roman" w:hAnsi="Times New Roman" w:cs="Times New Roman"/>
        </w:rPr>
      </w:pPr>
      <w:r w:rsidRPr="00D0297B">
        <w:rPr>
          <w:rFonts w:ascii="Times New Roman" w:hAnsi="Times New Roman" w:cs="Times New Roman"/>
        </w:rPr>
        <w:t xml:space="preserve">In 2016-2017, </w:t>
      </w:r>
      <w:r w:rsidR="009E34FE" w:rsidRPr="00D0297B">
        <w:rPr>
          <w:rFonts w:ascii="Times New Roman" w:hAnsi="Times New Roman" w:cs="Times New Roman"/>
        </w:rPr>
        <w:t>the USGS</w:t>
      </w:r>
      <w:r w:rsidRPr="00D0297B">
        <w:rPr>
          <w:rFonts w:ascii="Times New Roman" w:hAnsi="Times New Roman" w:cs="Times New Roman"/>
        </w:rPr>
        <w:t xml:space="preserve"> is funding geologic mapping projects in 45 States, 29 of</w:t>
      </w:r>
      <w:r w:rsidR="00161720" w:rsidRPr="00D0297B">
        <w:rPr>
          <w:rFonts w:ascii="Times New Roman" w:hAnsi="Times New Roman" w:cs="Times New Roman"/>
        </w:rPr>
        <w:t xml:space="preserve"> which </w:t>
      </w:r>
      <w:r w:rsidRPr="00D0297B">
        <w:rPr>
          <w:rFonts w:ascii="Times New Roman" w:hAnsi="Times New Roman" w:cs="Times New Roman"/>
        </w:rPr>
        <w:t>involve mapping for industrial mineral exploration.</w:t>
      </w:r>
      <w:r w:rsidR="00161720" w:rsidRPr="00D0297B">
        <w:rPr>
          <w:rStyle w:val="FootnoteReference"/>
          <w:rFonts w:ascii="Times New Roman" w:hAnsi="Times New Roman" w:cs="Times New Roman"/>
        </w:rPr>
        <w:footnoteReference w:id="3"/>
      </w:r>
      <w:r w:rsidRPr="00D0297B">
        <w:rPr>
          <w:rFonts w:ascii="Times New Roman" w:hAnsi="Times New Roman" w:cs="Times New Roman"/>
        </w:rPr>
        <w:t xml:space="preserve"> </w:t>
      </w:r>
      <w:r w:rsidR="00E80609" w:rsidRPr="00D0297B">
        <w:rPr>
          <w:rFonts w:ascii="Times New Roman" w:hAnsi="Times New Roman" w:cs="Times New Roman"/>
        </w:rPr>
        <w:t xml:space="preserve"> </w:t>
      </w:r>
    </w:p>
    <w:p w14:paraId="3DA426DB" w14:textId="56192291" w:rsidR="00847ADD" w:rsidRPr="00D0297B" w:rsidRDefault="00847ADD" w:rsidP="00847ADD">
      <w:pPr>
        <w:rPr>
          <w:rFonts w:ascii="Times New Roman" w:hAnsi="Times New Roman" w:cs="Times New Roman"/>
        </w:rPr>
      </w:pPr>
      <w:r w:rsidRPr="00D0297B">
        <w:rPr>
          <w:rFonts w:ascii="Times New Roman" w:hAnsi="Times New Roman" w:cs="Times New Roman"/>
        </w:rPr>
        <w:t>Many of the geologic mapping projects are focused on aggregate resource to support land-use development and infrastructure projects.</w:t>
      </w:r>
      <w:r w:rsidR="00890946" w:rsidRPr="00D0297B">
        <w:rPr>
          <w:rFonts w:ascii="Times New Roman" w:hAnsi="Times New Roman" w:cs="Times New Roman"/>
        </w:rPr>
        <w:t xml:space="preserve">  Specifically:</w:t>
      </w:r>
    </w:p>
    <w:p w14:paraId="78245299" w14:textId="1F83A3DC" w:rsidR="00FC7CAD" w:rsidRPr="00D0297B" w:rsidRDefault="00890946" w:rsidP="004A1191">
      <w:pPr>
        <w:pStyle w:val="ListParagraph"/>
        <w:numPr>
          <w:ilvl w:val="0"/>
          <w:numId w:val="2"/>
        </w:numPr>
        <w:spacing w:after="0"/>
        <w:rPr>
          <w:rFonts w:ascii="Times New Roman" w:hAnsi="Times New Roman" w:cs="Times New Roman"/>
        </w:rPr>
      </w:pPr>
      <w:r w:rsidRPr="00D0297B">
        <w:rPr>
          <w:rFonts w:ascii="Times New Roman" w:hAnsi="Times New Roman" w:cs="Times New Roman"/>
        </w:rPr>
        <w:t>W</w:t>
      </w:r>
      <w:r w:rsidR="00847ADD" w:rsidRPr="00D0297B">
        <w:rPr>
          <w:rFonts w:ascii="Times New Roman" w:hAnsi="Times New Roman" w:cs="Times New Roman"/>
        </w:rPr>
        <w:t xml:space="preserve">ork in central Texas involves the geologic mapping and collection of related map data focused on industrial/hydraulic-fracturing sand and construction sand and is addressing the demand for sand resources in the relatively nearby Eagle Ford Shale play in South Texas and the Barnett Shale play in North Central Texas, as well as other shale plays throughout the State. Detailed geologic maps aid professionals dealing with the exploration and mining of sand resources, as well as those involved in permitting and regulating mines, by providing basic geologic information on the location of, variations within, and detailed descriptions of sand-rich areas and surrounding geologic units.  </w:t>
      </w:r>
    </w:p>
    <w:p w14:paraId="1CE80021" w14:textId="77777777" w:rsidR="00FC7CAD" w:rsidRPr="00D0297B" w:rsidRDefault="00FC7CAD" w:rsidP="00847ADD">
      <w:pPr>
        <w:spacing w:after="0"/>
        <w:rPr>
          <w:rFonts w:ascii="Times New Roman" w:hAnsi="Times New Roman" w:cs="Times New Roman"/>
        </w:rPr>
      </w:pPr>
    </w:p>
    <w:p w14:paraId="0B59B1AE" w14:textId="1831EA91" w:rsidR="00FC7CAD" w:rsidRPr="00D0297B" w:rsidRDefault="00890946" w:rsidP="004A1191">
      <w:pPr>
        <w:pStyle w:val="ListParagraph"/>
        <w:numPr>
          <w:ilvl w:val="0"/>
          <w:numId w:val="2"/>
        </w:numPr>
        <w:spacing w:after="0"/>
        <w:rPr>
          <w:rFonts w:ascii="Times New Roman" w:hAnsi="Times New Roman" w:cs="Times New Roman"/>
        </w:rPr>
      </w:pPr>
      <w:r w:rsidRPr="00D0297B">
        <w:rPr>
          <w:rFonts w:ascii="Times New Roman" w:hAnsi="Times New Roman" w:cs="Times New Roman"/>
        </w:rPr>
        <w:t>W</w:t>
      </w:r>
      <w:r w:rsidR="00847ADD" w:rsidRPr="00D0297B">
        <w:rPr>
          <w:rFonts w:ascii="Times New Roman" w:hAnsi="Times New Roman" w:cs="Times New Roman"/>
        </w:rPr>
        <w:t xml:space="preserve">ork in Virginia is focused on the I-81 Corridor where there are active mine and quarry operations in the twelve counties along the Interstate. These businesses produce large </w:t>
      </w:r>
      <w:r w:rsidR="00847ADD" w:rsidRPr="00D0297B">
        <w:rPr>
          <w:rFonts w:ascii="Times New Roman" w:hAnsi="Times New Roman" w:cs="Times New Roman"/>
        </w:rPr>
        <w:lastRenderedPageBreak/>
        <w:t xml:space="preserve">amounts of crushed stone, clay, sand, gravel, dimension stone, and industrial minerals, including iron oxides, high-calcium limestone, salt, and silica.  The identification of additional aggregate and high-calcium resources through geologic mapping in this region will support continued economic development.  </w:t>
      </w:r>
    </w:p>
    <w:p w14:paraId="6BFEBE7C" w14:textId="77777777" w:rsidR="00FC7CAD" w:rsidRPr="00D0297B" w:rsidRDefault="00FC7CAD" w:rsidP="00847ADD">
      <w:pPr>
        <w:spacing w:after="0"/>
        <w:rPr>
          <w:rFonts w:ascii="Times New Roman" w:hAnsi="Times New Roman" w:cs="Times New Roman"/>
        </w:rPr>
      </w:pPr>
    </w:p>
    <w:p w14:paraId="618B5115" w14:textId="4E0086A1" w:rsidR="00B23E53" w:rsidRPr="00D0297B" w:rsidRDefault="00890946" w:rsidP="004A1191">
      <w:pPr>
        <w:pStyle w:val="ListParagraph"/>
        <w:numPr>
          <w:ilvl w:val="0"/>
          <w:numId w:val="2"/>
        </w:numPr>
        <w:spacing w:after="0"/>
        <w:rPr>
          <w:rFonts w:ascii="Times New Roman" w:hAnsi="Times New Roman" w:cs="Times New Roman"/>
        </w:rPr>
      </w:pPr>
      <w:r w:rsidRPr="00D0297B">
        <w:rPr>
          <w:rFonts w:ascii="Times New Roman" w:hAnsi="Times New Roman" w:cs="Times New Roman"/>
        </w:rPr>
        <w:t>G</w:t>
      </w:r>
      <w:r w:rsidR="00847ADD" w:rsidRPr="00D0297B">
        <w:rPr>
          <w:rFonts w:ascii="Times New Roman" w:hAnsi="Times New Roman" w:cs="Times New Roman"/>
        </w:rPr>
        <w:t>eologic mapping in Arizona is aiding the exploration of river gravels, dominated by highly resistant quartz-rich clasts, and sand in the Colorado River Valley.  Both the river gravels and sand are of exceptional quality for many industrial uses and the geologic mapping is providing the basis for aggregate exploration in this region.</w:t>
      </w:r>
    </w:p>
    <w:p w14:paraId="36C05290" w14:textId="77777777" w:rsidR="009D141F" w:rsidRDefault="009D141F" w:rsidP="00847ADD">
      <w:pPr>
        <w:spacing w:after="0"/>
      </w:pPr>
    </w:p>
    <w:p w14:paraId="6E98C9B9" w14:textId="16E328F0" w:rsidR="000A3D9E" w:rsidRPr="00A50EC2" w:rsidRDefault="00294C01" w:rsidP="00847ADD">
      <w:pPr>
        <w:spacing w:after="0"/>
        <w:rPr>
          <w:rFonts w:ascii="Times New Roman" w:hAnsi="Times New Roman" w:cs="Times New Roman"/>
          <w:b/>
        </w:rPr>
      </w:pPr>
      <w:r w:rsidRPr="00A50EC2">
        <w:rPr>
          <w:rFonts w:ascii="Times New Roman" w:hAnsi="Times New Roman" w:cs="Times New Roman"/>
          <w:b/>
        </w:rPr>
        <w:t>Consequences</w:t>
      </w:r>
      <w:r w:rsidR="00090CA7" w:rsidRPr="00A50EC2">
        <w:rPr>
          <w:rFonts w:ascii="Times New Roman" w:hAnsi="Times New Roman" w:cs="Times New Roman"/>
          <w:b/>
        </w:rPr>
        <w:t xml:space="preserve"> of a Lack of Geologic Data</w:t>
      </w:r>
    </w:p>
    <w:p w14:paraId="1B17F228" w14:textId="77777777" w:rsidR="000A3D9E" w:rsidRDefault="000A3D9E" w:rsidP="00847ADD">
      <w:pPr>
        <w:spacing w:after="0"/>
        <w:rPr>
          <w:rFonts w:ascii="Times New Roman" w:hAnsi="Times New Roman" w:cs="Times New Roman"/>
        </w:rPr>
      </w:pPr>
    </w:p>
    <w:p w14:paraId="369E8F38" w14:textId="000BCA79" w:rsidR="00890946" w:rsidRPr="00D0297B" w:rsidRDefault="004C0465" w:rsidP="00890946">
      <w:pPr>
        <w:spacing w:after="0"/>
        <w:rPr>
          <w:rFonts w:ascii="Times New Roman" w:hAnsi="Times New Roman" w:cs="Times New Roman"/>
        </w:rPr>
      </w:pPr>
      <w:r w:rsidRPr="00D0297B">
        <w:rPr>
          <w:rFonts w:ascii="Times New Roman" w:hAnsi="Times New Roman" w:cs="Times New Roman"/>
          <w:noProof/>
          <w:lang w:eastAsia="en-US"/>
        </w:rPr>
        <mc:AlternateContent>
          <mc:Choice Requires="wps">
            <w:drawing>
              <wp:anchor distT="0" distB="0" distL="114300" distR="114300" simplePos="0" relativeHeight="251666432" behindDoc="0" locked="0" layoutInCell="1" allowOverlap="1" wp14:anchorId="5712650C" wp14:editId="1A286133">
                <wp:simplePos x="0" y="0"/>
                <wp:positionH relativeFrom="column">
                  <wp:posOffset>-191135</wp:posOffset>
                </wp:positionH>
                <wp:positionV relativeFrom="paragraph">
                  <wp:posOffset>6757035</wp:posOffset>
                </wp:positionV>
                <wp:extent cx="297815" cy="238125"/>
                <wp:effectExtent l="0" t="0" r="0" b="0"/>
                <wp:wrapThrough wrapText="bothSides">
                  <wp:wrapPolygon edited="0">
                    <wp:start x="0" y="0"/>
                    <wp:lineTo x="0" y="21600"/>
                    <wp:lineTo x="21600" y="21600"/>
                    <wp:lineTo x="21600" y="0"/>
                  </wp:wrapPolygon>
                </wp:wrapThrough>
                <wp:docPr id="22" name="Rectangle 21"/>
                <wp:cNvGraphicFramePr/>
                <a:graphic xmlns:a="http://schemas.openxmlformats.org/drawingml/2006/main">
                  <a:graphicData uri="http://schemas.microsoft.com/office/word/2010/wordprocessingShape">
                    <wps:wsp>
                      <wps:cNvSpPr/>
                      <wps:spPr>
                        <a:xfrm>
                          <a:off x="0" y="0"/>
                          <a:ext cx="297815" cy="238125"/>
                        </a:xfrm>
                        <a:prstGeom prst="rect">
                          <a:avLst/>
                        </a:prstGeom>
                      </wps:spPr>
                      <wps:txbx>
                        <w:txbxContent>
                          <w:p w14:paraId="0E082813" w14:textId="5EED7323" w:rsidR="008F05F3" w:rsidRDefault="008F05F3" w:rsidP="004C0465">
                            <w:pPr>
                              <w:pStyle w:val="NormalWeb"/>
                              <w:spacing w:before="0" w:beforeAutospacing="0" w:after="0" w:afterAutospacing="0"/>
                            </w:pPr>
                          </w:p>
                        </w:txbxContent>
                      </wps:txbx>
                      <wps:bodyPr wrap="none" lIns="91429" tIns="45714" rIns="91429" bIns="45714">
                        <a:spAutoFit/>
                      </wps:bodyPr>
                    </wps:wsp>
                  </a:graphicData>
                </a:graphic>
              </wp:anchor>
            </w:drawing>
          </mc:Choice>
          <mc:Fallback xmlns:w15="http://schemas.microsoft.com/office/word/2012/wordml">
            <w:pict>
              <v:rect w14:anchorId="5712650C" id="Rectangle 21" o:spid="_x0000_s1026" style="position:absolute;margin-left:-15.05pt;margin-top:532.05pt;width:23.45pt;height:18.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" filled="f" stroked="f">
                <v:textbox style="mso-fit-shape-to-text:t" inset="2.53969mm,1.2698mm,2.53969mm,1.2698mm">
                  <w:txbxContent>
                    <w:p w14:paraId="0E082813" w14:textId="5EED7323" w:rsidR="008F05F3" w:rsidRDefault="008F05F3" w:rsidP="004C0465">
                      <w:pPr>
                        <w:pStyle w:val="NormalWeb"/>
                        <w:spacing w:before="0" w:beforeAutospacing="0" w:after="0" w:afterAutospacing="0"/>
                      </w:pPr>
                    </w:p>
                  </w:txbxContent>
                </v:textbox>
                <w10:wrap type="through"/>
              </v:rect>
            </w:pict>
          </mc:Fallback>
        </mc:AlternateContent>
      </w:r>
      <w:r w:rsidR="00445E80" w:rsidRPr="00D0297B">
        <w:rPr>
          <w:rFonts w:ascii="Times New Roman" w:hAnsi="Times New Roman" w:cs="Times New Roman"/>
        </w:rPr>
        <w:t>L</w:t>
      </w:r>
      <w:r w:rsidR="00890946" w:rsidRPr="00D0297B">
        <w:rPr>
          <w:rFonts w:ascii="Times New Roman" w:hAnsi="Times New Roman" w:cs="Times New Roman"/>
        </w:rPr>
        <w:t xml:space="preserve">ack of geologic data can have consequences for construction projects.  For example, the Millennium Tower in San Francisco cost $350 million to construct in 2009.  </w:t>
      </w:r>
      <w:r w:rsidR="004A1191" w:rsidRPr="00D0297B">
        <w:rPr>
          <w:rFonts w:ascii="Times New Roman" w:hAnsi="Times New Roman" w:cs="Times New Roman"/>
        </w:rPr>
        <w:t>Media reports</w:t>
      </w:r>
      <w:r w:rsidR="004A1191" w:rsidRPr="00D0297B">
        <w:rPr>
          <w:rStyle w:val="FootnoteReference"/>
          <w:rFonts w:ascii="Times New Roman" w:hAnsi="Times New Roman" w:cs="Times New Roman"/>
        </w:rPr>
        <w:footnoteReference w:id="4"/>
      </w:r>
      <w:r w:rsidR="009F364C" w:rsidRPr="00D0297B">
        <w:rPr>
          <w:rFonts w:ascii="Times New Roman" w:hAnsi="Times New Roman" w:cs="Times New Roman"/>
        </w:rPr>
        <w:t xml:space="preserve"> indicate</w:t>
      </w:r>
      <w:r w:rsidR="00890946" w:rsidRPr="00D0297B">
        <w:rPr>
          <w:rFonts w:ascii="Times New Roman" w:hAnsi="Times New Roman" w:cs="Times New Roman"/>
        </w:rPr>
        <w:t xml:space="preserve"> </w:t>
      </w:r>
      <w:r w:rsidR="009F364C" w:rsidRPr="00D0297B">
        <w:rPr>
          <w:rFonts w:ascii="Times New Roman" w:hAnsi="Times New Roman" w:cs="Times New Roman"/>
        </w:rPr>
        <w:t>that tilting and settling of the building could cost millions to hundreds of millions of dollars to fix the problem</w:t>
      </w:r>
      <w:r w:rsidR="004775D8">
        <w:rPr>
          <w:rFonts w:ascii="Times New Roman" w:hAnsi="Times New Roman" w:cs="Times New Roman"/>
        </w:rPr>
        <w:t>.</w:t>
      </w:r>
    </w:p>
    <w:p w14:paraId="7BE9220B" w14:textId="77777777" w:rsidR="00890946" w:rsidRPr="00D0297B" w:rsidRDefault="00890946" w:rsidP="00890946">
      <w:pPr>
        <w:spacing w:after="0"/>
        <w:rPr>
          <w:rFonts w:ascii="Times New Roman" w:hAnsi="Times New Roman" w:cs="Times New Roman"/>
        </w:rPr>
      </w:pPr>
    </w:p>
    <w:p w14:paraId="7BB33034" w14:textId="3690836C" w:rsidR="00890946" w:rsidRPr="00D0297B" w:rsidRDefault="00ED0FD2" w:rsidP="00890946">
      <w:pPr>
        <w:spacing w:after="0"/>
        <w:rPr>
          <w:rFonts w:ascii="Times New Roman" w:hAnsi="Times New Roman" w:cs="Times New Roman"/>
        </w:rPr>
      </w:pPr>
      <w:r w:rsidRPr="00D0297B">
        <w:rPr>
          <w:rFonts w:ascii="Times New Roman" w:hAnsi="Times New Roman" w:cs="Times New Roman"/>
        </w:rPr>
        <w:t>In another example</w:t>
      </w:r>
      <w:r w:rsidR="00890946" w:rsidRPr="00D0297B">
        <w:rPr>
          <w:rFonts w:ascii="Times New Roman" w:hAnsi="Times New Roman" w:cs="Times New Roman"/>
        </w:rPr>
        <w:t xml:space="preserve">, better geological understanding of the subsurface geology in Austin, Texas through more detailed geological mapping and geophysical surveys could have alleviated </w:t>
      </w:r>
      <w:r w:rsidR="00DE0318">
        <w:rPr>
          <w:rFonts w:ascii="Times New Roman" w:hAnsi="Times New Roman" w:cs="Times New Roman"/>
        </w:rPr>
        <w:t xml:space="preserve">some of the </w:t>
      </w:r>
      <w:r w:rsidR="00890946" w:rsidRPr="00D0297B">
        <w:rPr>
          <w:rFonts w:ascii="Times New Roman" w:hAnsi="Times New Roman" w:cs="Times New Roman"/>
        </w:rPr>
        <w:t>construction delay</w:t>
      </w:r>
      <w:r w:rsidR="004775D8">
        <w:rPr>
          <w:rFonts w:ascii="Times New Roman" w:hAnsi="Times New Roman" w:cs="Times New Roman"/>
        </w:rPr>
        <w:t>s</w:t>
      </w:r>
      <w:r w:rsidR="00890946" w:rsidRPr="00D0297B">
        <w:rPr>
          <w:rFonts w:ascii="Times New Roman" w:hAnsi="Times New Roman" w:cs="Times New Roman"/>
        </w:rPr>
        <w:t xml:space="preserve"> and cost overrun</w:t>
      </w:r>
      <w:r w:rsidR="004775D8">
        <w:rPr>
          <w:rFonts w:ascii="Times New Roman" w:hAnsi="Times New Roman" w:cs="Times New Roman"/>
        </w:rPr>
        <w:t>s</w:t>
      </w:r>
      <w:r w:rsidR="00890946" w:rsidRPr="00D0297B">
        <w:rPr>
          <w:rFonts w:ascii="Times New Roman" w:hAnsi="Times New Roman" w:cs="Times New Roman"/>
        </w:rPr>
        <w:t xml:space="preserve"> in the construction of tunnels in the </w:t>
      </w:r>
      <w:proofErr w:type="spellStart"/>
      <w:r w:rsidR="00890946" w:rsidRPr="00D0297B">
        <w:rPr>
          <w:rFonts w:ascii="Times New Roman" w:hAnsi="Times New Roman" w:cs="Times New Roman"/>
        </w:rPr>
        <w:t>MoPac</w:t>
      </w:r>
      <w:proofErr w:type="spellEnd"/>
      <w:r w:rsidR="00890946" w:rsidRPr="00D0297B">
        <w:rPr>
          <w:rFonts w:ascii="Times New Roman" w:hAnsi="Times New Roman" w:cs="Times New Roman"/>
        </w:rPr>
        <w:t xml:space="preserve"> Boulevard project.</w:t>
      </w:r>
      <w:r w:rsidR="004A1191" w:rsidRPr="00D0297B">
        <w:rPr>
          <w:rStyle w:val="FootnoteReference"/>
          <w:rFonts w:ascii="Times New Roman" w:hAnsi="Times New Roman" w:cs="Times New Roman"/>
        </w:rPr>
        <w:footnoteReference w:id="5"/>
      </w:r>
      <w:r w:rsidR="00890946" w:rsidRPr="00D0297B">
        <w:rPr>
          <w:rFonts w:ascii="Times New Roman" w:hAnsi="Times New Roman" w:cs="Times New Roman"/>
        </w:rPr>
        <w:t xml:space="preserve">  </w:t>
      </w:r>
    </w:p>
    <w:p w14:paraId="3176C9FE" w14:textId="77777777" w:rsidR="00D76C80" w:rsidRPr="00D0297B" w:rsidRDefault="00D76C80" w:rsidP="00890946">
      <w:pPr>
        <w:spacing w:after="0"/>
        <w:rPr>
          <w:rFonts w:ascii="Times New Roman" w:hAnsi="Times New Roman" w:cs="Times New Roman"/>
        </w:rPr>
      </w:pPr>
    </w:p>
    <w:p w14:paraId="097F4E17" w14:textId="443AD239" w:rsidR="001350B2" w:rsidRPr="00D0297B" w:rsidRDefault="00D76C80" w:rsidP="00890946">
      <w:pPr>
        <w:spacing w:after="0"/>
        <w:rPr>
          <w:rFonts w:ascii="Times New Roman" w:hAnsi="Times New Roman" w:cs="Times New Roman"/>
        </w:rPr>
      </w:pPr>
      <w:r w:rsidRPr="00D0297B">
        <w:rPr>
          <w:rFonts w:ascii="Times New Roman" w:hAnsi="Times New Roman" w:cs="Times New Roman"/>
        </w:rPr>
        <w:t>The U.S. Geological Survey appreciates the committee’s interest in this topic and is available as a resource to the Committee.</w:t>
      </w:r>
    </w:p>
    <w:sectPr w:rsidR="001350B2" w:rsidRPr="00D0297B" w:rsidSect="004F1A15">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8FFF0" w14:textId="77777777" w:rsidR="00996D6B" w:rsidRDefault="00996D6B" w:rsidP="00D76C80">
      <w:pPr>
        <w:spacing w:after="0"/>
      </w:pPr>
      <w:r>
        <w:separator/>
      </w:r>
    </w:p>
  </w:endnote>
  <w:endnote w:type="continuationSeparator" w:id="0">
    <w:p w14:paraId="0491C752" w14:textId="77777777" w:rsidR="00996D6B" w:rsidRDefault="00996D6B" w:rsidP="00D76C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47 CondensedLigh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E0D2" w14:textId="77777777" w:rsidR="00996D6B" w:rsidRDefault="00996D6B" w:rsidP="00D76C80">
      <w:pPr>
        <w:spacing w:after="0"/>
      </w:pPr>
      <w:r>
        <w:separator/>
      </w:r>
    </w:p>
  </w:footnote>
  <w:footnote w:type="continuationSeparator" w:id="0">
    <w:p w14:paraId="5967C3C2" w14:textId="77777777" w:rsidR="00996D6B" w:rsidRDefault="00996D6B" w:rsidP="00D76C80">
      <w:pPr>
        <w:spacing w:after="0"/>
      </w:pPr>
      <w:r>
        <w:continuationSeparator/>
      </w:r>
    </w:p>
  </w:footnote>
  <w:footnote w:id="1">
    <w:p w14:paraId="260CE8CB" w14:textId="70B71667" w:rsidR="00131D27" w:rsidRPr="00D47925" w:rsidRDefault="00D76C80">
      <w:pPr>
        <w:pStyle w:val="FootnoteText"/>
        <w:rPr>
          <w:rFonts w:ascii="Times New Roman" w:hAnsi="Times New Roman" w:cs="Times New Roman"/>
          <w:color w:val="252525"/>
          <w:shd w:val="clear" w:color="auto" w:fill="FFFFFF"/>
        </w:rPr>
      </w:pPr>
      <w:r w:rsidRPr="00D47925">
        <w:rPr>
          <w:rStyle w:val="FootnoteReference"/>
          <w:rFonts w:ascii="Times New Roman" w:hAnsi="Times New Roman" w:cs="Times New Roman"/>
        </w:rPr>
        <w:footnoteRef/>
      </w:r>
      <w:r w:rsidRPr="00D47925">
        <w:rPr>
          <w:rFonts w:ascii="Times New Roman" w:hAnsi="Times New Roman" w:cs="Times New Roman"/>
        </w:rPr>
        <w:t xml:space="preserve"> </w:t>
      </w:r>
      <w:proofErr w:type="gramStart"/>
      <w:r w:rsidRPr="00D47925">
        <w:rPr>
          <w:rFonts w:ascii="Times New Roman" w:hAnsi="Times New Roman" w:cs="Times New Roman"/>
        </w:rPr>
        <w:t>"Denver International Airport Construction and Operating Costs"</w:t>
      </w:r>
      <w:r w:rsidRPr="00D47925">
        <w:rPr>
          <w:rFonts w:ascii="Times New Roman" w:hAnsi="Times New Roman" w:cs="Times New Roman"/>
          <w:color w:val="252525"/>
          <w:shd w:val="clear" w:color="auto" w:fill="FFFFFF"/>
        </w:rPr>
        <w:t>.</w:t>
      </w:r>
      <w:proofErr w:type="gramEnd"/>
      <w:r w:rsidRPr="00D47925">
        <w:rPr>
          <w:rFonts w:ascii="Times New Roman" w:hAnsi="Times New Roman" w:cs="Times New Roman"/>
          <w:color w:val="252525"/>
          <w:shd w:val="clear" w:color="auto" w:fill="FFFFFF"/>
        </w:rPr>
        <w:t> </w:t>
      </w:r>
      <w:proofErr w:type="gramStart"/>
      <w:r w:rsidR="004A1191" w:rsidRPr="00D47925">
        <w:rPr>
          <w:rFonts w:ascii="Times New Roman" w:hAnsi="Times New Roman" w:cs="Times New Roman"/>
        </w:rPr>
        <w:t>University of Colorado at Boulder Government Publications Library</w:t>
      </w:r>
      <w:r w:rsidRPr="00D47925">
        <w:rPr>
          <w:rFonts w:ascii="Times New Roman" w:hAnsi="Times New Roman" w:cs="Times New Roman"/>
          <w:color w:val="252525"/>
          <w:shd w:val="clear" w:color="auto" w:fill="FFFFFF"/>
        </w:rPr>
        <w:t>.</w:t>
      </w:r>
      <w:proofErr w:type="gramEnd"/>
      <w:r w:rsidRPr="00D47925">
        <w:rPr>
          <w:rFonts w:ascii="Times New Roman" w:hAnsi="Times New Roman" w:cs="Times New Roman"/>
          <w:color w:val="252525"/>
          <w:shd w:val="clear" w:color="auto" w:fill="FFFFFF"/>
        </w:rPr>
        <w:t xml:space="preserve"> July 5, 1997.</w:t>
      </w:r>
      <w:r w:rsidR="00131D27" w:rsidRPr="00D47925">
        <w:rPr>
          <w:rFonts w:ascii="Times New Roman" w:hAnsi="Times New Roman" w:cs="Times New Roman"/>
          <w:color w:val="252525"/>
          <w:shd w:val="clear" w:color="auto" w:fill="FFFFFF"/>
        </w:rPr>
        <w:t xml:space="preserve">  </w:t>
      </w:r>
      <w:r w:rsidR="00230431" w:rsidRPr="00D47925">
        <w:rPr>
          <w:rFonts w:ascii="Times New Roman" w:hAnsi="Times New Roman" w:cs="Times New Roman"/>
          <w:color w:val="252525"/>
          <w:shd w:val="clear" w:color="auto" w:fill="FFFFFF"/>
        </w:rPr>
        <w:t>Accessed March 14, 2017 at https://web.archive.org/web/20080312034239/http://www.colorado.edu/libraries/govpubs/dia.htm</w:t>
      </w:r>
    </w:p>
    <w:p w14:paraId="24DA3928" w14:textId="582FEC3E" w:rsidR="00D76C80" w:rsidRPr="00D47925" w:rsidRDefault="00131D27">
      <w:pPr>
        <w:pStyle w:val="FootnoteText"/>
        <w:rPr>
          <w:rFonts w:ascii="Times New Roman" w:hAnsi="Times New Roman" w:cs="Times New Roman"/>
        </w:rPr>
      </w:pPr>
      <w:r w:rsidRPr="00D47925">
        <w:rPr>
          <w:rFonts w:ascii="Times New Roman" w:hAnsi="Times New Roman" w:cs="Times New Roman"/>
          <w:color w:val="252525"/>
          <w:shd w:val="clear" w:color="auto" w:fill="FFFFFF"/>
          <w:vertAlign w:val="superscript"/>
        </w:rPr>
        <w:t>2</w:t>
      </w:r>
      <w:r w:rsidR="00230431" w:rsidRPr="00D47925">
        <w:rPr>
          <w:rFonts w:ascii="Times New Roman" w:hAnsi="Times New Roman" w:cs="Times New Roman"/>
          <w:color w:val="252525"/>
          <w:shd w:val="clear" w:color="auto" w:fill="FFFFFF"/>
          <w:vertAlign w:val="superscript"/>
        </w:rPr>
        <w:t xml:space="preserve"> </w:t>
      </w:r>
      <w:r w:rsidRPr="00D47925">
        <w:rPr>
          <w:rFonts w:ascii="Times New Roman" w:hAnsi="Times New Roman" w:cs="Times New Roman"/>
        </w:rPr>
        <w:t xml:space="preserve">D.H., Jr., ed., 2002, </w:t>
      </w:r>
      <w:proofErr w:type="gramStart"/>
      <w:r w:rsidRPr="00D47925">
        <w:rPr>
          <w:rFonts w:ascii="Times New Roman" w:hAnsi="Times New Roman" w:cs="Times New Roman"/>
        </w:rPr>
        <w:t>Planning</w:t>
      </w:r>
      <w:proofErr w:type="gramEnd"/>
      <w:r w:rsidRPr="00D47925">
        <w:rPr>
          <w:rFonts w:ascii="Times New Roman" w:hAnsi="Times New Roman" w:cs="Times New Roman"/>
        </w:rPr>
        <w:t xml:space="preserve"> for the conservation and development of infrastructure resources in urban areas – Colorado Front Range Urban Corridor: USGS Circular 1219.  http://geology.cr.usgs.gov/pub/circulars/c1219/</w:t>
      </w:r>
    </w:p>
  </w:footnote>
  <w:footnote w:id="2">
    <w:p w14:paraId="6A89286C" w14:textId="2B750750" w:rsidR="009E34FE" w:rsidRDefault="009E34FE">
      <w:pPr>
        <w:pStyle w:val="FootnoteText"/>
      </w:pPr>
      <w:r w:rsidRPr="00D47925">
        <w:rPr>
          <w:rStyle w:val="FootnoteReference"/>
          <w:rFonts w:ascii="Times New Roman" w:hAnsi="Times New Roman" w:cs="Times New Roman"/>
        </w:rPr>
        <w:footnoteRef/>
      </w:r>
      <w:r w:rsidRPr="00D47925">
        <w:rPr>
          <w:rFonts w:ascii="Times New Roman" w:hAnsi="Times New Roman" w:cs="Times New Roman"/>
        </w:rPr>
        <w:t xml:space="preserve"> </w:t>
      </w:r>
      <w:r w:rsidRPr="00D47925">
        <w:rPr>
          <w:rFonts w:ascii="Times New Roman" w:eastAsia="Times New Roman" w:hAnsi="Times New Roman" w:cs="Times New Roman"/>
          <w:color w:val="000000"/>
          <w:lang w:eastAsia="en-US"/>
        </w:rPr>
        <w:t>USGS Mineral Commodity Summaries (2017)</w:t>
      </w:r>
    </w:p>
  </w:footnote>
  <w:footnote w:id="3">
    <w:p w14:paraId="5EEF04C1" w14:textId="64901694" w:rsidR="00161720" w:rsidRDefault="00161720">
      <w:pPr>
        <w:pStyle w:val="FootnoteText"/>
      </w:pPr>
      <w:r>
        <w:rPr>
          <w:rStyle w:val="FootnoteReference"/>
        </w:rPr>
        <w:footnoteRef/>
      </w:r>
      <w:r>
        <w:t xml:space="preserve"> </w:t>
      </w:r>
      <w:r w:rsidRPr="00D47925">
        <w:rPr>
          <w:rFonts w:ascii="Times New Roman" w:hAnsi="Times New Roman" w:cs="Times New Roman"/>
        </w:rPr>
        <w:t>The states with geologic mapping projects related to industrial mineral exploration are: Alabama, Arizona, California, Colorado, Idaho, Illinois, Indiana, Michigan, Nevada, Iowa, Kansas, Kentucky, Louisiana, Minnesota, Missouri, Mississippi, North Carolina, Ohio, Oklahoma, Oregon, South Carolina, Tennessee, Texas, Utah, Vermont, Virginia, Washington, West Virginia, and Wisconsin.</w:t>
      </w:r>
    </w:p>
  </w:footnote>
  <w:footnote w:id="4">
    <w:p w14:paraId="6CA82CFF" w14:textId="56010316" w:rsidR="004A1191" w:rsidRPr="00D47925" w:rsidRDefault="004A1191">
      <w:pPr>
        <w:pStyle w:val="FootnoteText"/>
        <w:rPr>
          <w:rFonts w:ascii="Times New Roman" w:hAnsi="Times New Roman" w:cs="Times New Roman"/>
        </w:rPr>
      </w:pPr>
      <w:r w:rsidRPr="00D47925">
        <w:rPr>
          <w:rStyle w:val="FootnoteReference"/>
          <w:rFonts w:ascii="Times New Roman" w:hAnsi="Times New Roman" w:cs="Times New Roman"/>
        </w:rPr>
        <w:footnoteRef/>
      </w:r>
      <w:r w:rsidRPr="00D47925">
        <w:rPr>
          <w:rFonts w:ascii="Times New Roman" w:hAnsi="Times New Roman" w:cs="Times New Roman"/>
        </w:rPr>
        <w:t xml:space="preserve"> https://www.bloomberg.com/news/articles/2017-02-01/who-will-pay-for-san-francisco-s-tilting-sinking-millennium-tower</w:t>
      </w:r>
    </w:p>
  </w:footnote>
  <w:footnote w:id="5">
    <w:p w14:paraId="372831E6" w14:textId="77777777" w:rsidR="004A1191" w:rsidRPr="00D47925" w:rsidRDefault="004A1191" w:rsidP="004A1191">
      <w:pPr>
        <w:spacing w:after="0"/>
        <w:rPr>
          <w:rFonts w:ascii="Times New Roman" w:hAnsi="Times New Roman" w:cs="Times New Roman"/>
          <w:sz w:val="20"/>
          <w:szCs w:val="20"/>
        </w:rPr>
      </w:pPr>
      <w:r w:rsidRPr="00D47925">
        <w:rPr>
          <w:rStyle w:val="FootnoteReference"/>
          <w:rFonts w:ascii="Times New Roman" w:hAnsi="Times New Roman" w:cs="Times New Roman"/>
          <w:sz w:val="20"/>
          <w:szCs w:val="20"/>
        </w:rPr>
        <w:footnoteRef/>
      </w:r>
      <w:r w:rsidRPr="00D47925">
        <w:rPr>
          <w:rFonts w:ascii="Times New Roman" w:hAnsi="Times New Roman" w:cs="Times New Roman"/>
          <w:sz w:val="20"/>
          <w:szCs w:val="20"/>
        </w:rPr>
        <w:t xml:space="preserve"> http://www.mystatesman.com/news/local/slow-road-mopac-tolls-look-what-went-wrong-delayed-project/hGqIAlaovPj0oxcCYuDfjO/</w:t>
      </w:r>
    </w:p>
    <w:p w14:paraId="68BD4563" w14:textId="08581B9E" w:rsidR="004A1191" w:rsidRDefault="004A119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14AB1"/>
    <w:multiLevelType w:val="hybridMultilevel"/>
    <w:tmpl w:val="41BC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5F3D5D"/>
    <w:multiLevelType w:val="hybridMultilevel"/>
    <w:tmpl w:val="C5829E6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EC6"/>
    <w:rsid w:val="0000760D"/>
    <w:rsid w:val="00017A4D"/>
    <w:rsid w:val="00021F29"/>
    <w:rsid w:val="0007001F"/>
    <w:rsid w:val="00070970"/>
    <w:rsid w:val="0007345D"/>
    <w:rsid w:val="00075DA4"/>
    <w:rsid w:val="00090CA7"/>
    <w:rsid w:val="000A3D9E"/>
    <w:rsid w:val="00131D27"/>
    <w:rsid w:val="0013287E"/>
    <w:rsid w:val="001350B2"/>
    <w:rsid w:val="001353CB"/>
    <w:rsid w:val="00156245"/>
    <w:rsid w:val="00161720"/>
    <w:rsid w:val="0018128F"/>
    <w:rsid w:val="00181335"/>
    <w:rsid w:val="001C1060"/>
    <w:rsid w:val="001E18CB"/>
    <w:rsid w:val="002160F7"/>
    <w:rsid w:val="00221F3F"/>
    <w:rsid w:val="00230431"/>
    <w:rsid w:val="0027079E"/>
    <w:rsid w:val="0027691E"/>
    <w:rsid w:val="00277AD8"/>
    <w:rsid w:val="00283C65"/>
    <w:rsid w:val="00291872"/>
    <w:rsid w:val="00294C01"/>
    <w:rsid w:val="002C35F7"/>
    <w:rsid w:val="002C38CD"/>
    <w:rsid w:val="002D25D0"/>
    <w:rsid w:val="003033A8"/>
    <w:rsid w:val="003079C2"/>
    <w:rsid w:val="003444BE"/>
    <w:rsid w:val="00380561"/>
    <w:rsid w:val="003B3CA6"/>
    <w:rsid w:val="003C4653"/>
    <w:rsid w:val="003D5B39"/>
    <w:rsid w:val="003F638E"/>
    <w:rsid w:val="00410ABB"/>
    <w:rsid w:val="00421E72"/>
    <w:rsid w:val="00427C9A"/>
    <w:rsid w:val="00434B6C"/>
    <w:rsid w:val="00444023"/>
    <w:rsid w:val="00445E80"/>
    <w:rsid w:val="004529A4"/>
    <w:rsid w:val="004613CA"/>
    <w:rsid w:val="004775D8"/>
    <w:rsid w:val="004832C4"/>
    <w:rsid w:val="00493296"/>
    <w:rsid w:val="004A1191"/>
    <w:rsid w:val="004C0465"/>
    <w:rsid w:val="004C4B5F"/>
    <w:rsid w:val="004D1E5A"/>
    <w:rsid w:val="004D574E"/>
    <w:rsid w:val="004D579B"/>
    <w:rsid w:val="004E184C"/>
    <w:rsid w:val="004F1A15"/>
    <w:rsid w:val="00517BB6"/>
    <w:rsid w:val="005366AD"/>
    <w:rsid w:val="0055641C"/>
    <w:rsid w:val="005575AA"/>
    <w:rsid w:val="00563FA9"/>
    <w:rsid w:val="0058322F"/>
    <w:rsid w:val="005A2710"/>
    <w:rsid w:val="005C0E89"/>
    <w:rsid w:val="005D5EC6"/>
    <w:rsid w:val="005E2D63"/>
    <w:rsid w:val="005F1253"/>
    <w:rsid w:val="00635622"/>
    <w:rsid w:val="00655903"/>
    <w:rsid w:val="0068011B"/>
    <w:rsid w:val="00695706"/>
    <w:rsid w:val="006A6C1C"/>
    <w:rsid w:val="006F30AD"/>
    <w:rsid w:val="00705777"/>
    <w:rsid w:val="007247F8"/>
    <w:rsid w:val="00725935"/>
    <w:rsid w:val="0074442E"/>
    <w:rsid w:val="00744444"/>
    <w:rsid w:val="007815B2"/>
    <w:rsid w:val="007A3383"/>
    <w:rsid w:val="007C31A1"/>
    <w:rsid w:val="007D642B"/>
    <w:rsid w:val="00813BAD"/>
    <w:rsid w:val="00820D28"/>
    <w:rsid w:val="008405A1"/>
    <w:rsid w:val="00847ADD"/>
    <w:rsid w:val="00874CB0"/>
    <w:rsid w:val="00890946"/>
    <w:rsid w:val="008C6110"/>
    <w:rsid w:val="008D6A57"/>
    <w:rsid w:val="008F05F3"/>
    <w:rsid w:val="009103B4"/>
    <w:rsid w:val="009344BD"/>
    <w:rsid w:val="00972924"/>
    <w:rsid w:val="00974CD9"/>
    <w:rsid w:val="00987B1C"/>
    <w:rsid w:val="00996D6B"/>
    <w:rsid w:val="009D141F"/>
    <w:rsid w:val="009E0CD5"/>
    <w:rsid w:val="009E34FE"/>
    <w:rsid w:val="009F364C"/>
    <w:rsid w:val="009F5B57"/>
    <w:rsid w:val="009F6380"/>
    <w:rsid w:val="00A2652E"/>
    <w:rsid w:val="00A50EC2"/>
    <w:rsid w:val="00A52EA0"/>
    <w:rsid w:val="00A8413D"/>
    <w:rsid w:val="00A9294F"/>
    <w:rsid w:val="00AB2442"/>
    <w:rsid w:val="00AD2357"/>
    <w:rsid w:val="00AE4B1C"/>
    <w:rsid w:val="00AE4EC5"/>
    <w:rsid w:val="00B065C7"/>
    <w:rsid w:val="00B1241A"/>
    <w:rsid w:val="00B23E53"/>
    <w:rsid w:val="00B256D6"/>
    <w:rsid w:val="00B82020"/>
    <w:rsid w:val="00B97C52"/>
    <w:rsid w:val="00BE21C9"/>
    <w:rsid w:val="00BF32EE"/>
    <w:rsid w:val="00C478ED"/>
    <w:rsid w:val="00C5086C"/>
    <w:rsid w:val="00C749B3"/>
    <w:rsid w:val="00C900B6"/>
    <w:rsid w:val="00CA6841"/>
    <w:rsid w:val="00CE58A5"/>
    <w:rsid w:val="00D00994"/>
    <w:rsid w:val="00D0297B"/>
    <w:rsid w:val="00D07F14"/>
    <w:rsid w:val="00D4264C"/>
    <w:rsid w:val="00D47925"/>
    <w:rsid w:val="00D66DE6"/>
    <w:rsid w:val="00D76C80"/>
    <w:rsid w:val="00D905A6"/>
    <w:rsid w:val="00DA4CEE"/>
    <w:rsid w:val="00DE0318"/>
    <w:rsid w:val="00DE77DE"/>
    <w:rsid w:val="00E16E63"/>
    <w:rsid w:val="00E34D7C"/>
    <w:rsid w:val="00E755CD"/>
    <w:rsid w:val="00E76E21"/>
    <w:rsid w:val="00E80609"/>
    <w:rsid w:val="00ED0FD2"/>
    <w:rsid w:val="00F06E15"/>
    <w:rsid w:val="00F15885"/>
    <w:rsid w:val="00F94CB1"/>
    <w:rsid w:val="00F963DE"/>
    <w:rsid w:val="00FC7CAD"/>
    <w:rsid w:val="00FD1996"/>
    <w:rsid w:val="00FE51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9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00B6"/>
    <w:pPr>
      <w:autoSpaceDE w:val="0"/>
      <w:autoSpaceDN w:val="0"/>
      <w:adjustRightInd w:val="0"/>
      <w:spacing w:after="0"/>
    </w:pPr>
    <w:rPr>
      <w:rFonts w:ascii="Univers 47 CondensedLight" w:eastAsiaTheme="minorHAnsi" w:hAnsi="Univers 47 CondensedLight" w:cs="Univers 47 CondensedLight"/>
      <w:color w:val="000000"/>
      <w:lang w:eastAsia="en-US"/>
    </w:rPr>
  </w:style>
  <w:style w:type="paragraph" w:styleId="BalloonText">
    <w:name w:val="Balloon Text"/>
    <w:basedOn w:val="Normal"/>
    <w:link w:val="BalloonTextChar"/>
    <w:uiPriority w:val="99"/>
    <w:semiHidden/>
    <w:unhideWhenUsed/>
    <w:rsid w:val="00F158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885"/>
    <w:rPr>
      <w:rFonts w:ascii="Tahoma" w:hAnsi="Tahoma" w:cs="Tahoma"/>
      <w:sz w:val="16"/>
      <w:szCs w:val="16"/>
    </w:rPr>
  </w:style>
  <w:style w:type="paragraph" w:styleId="NormalWeb">
    <w:name w:val="Normal (Web)"/>
    <w:basedOn w:val="Normal"/>
    <w:uiPriority w:val="99"/>
    <w:semiHidden/>
    <w:unhideWhenUsed/>
    <w:rsid w:val="004C0465"/>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1C1060"/>
    <w:rPr>
      <w:sz w:val="18"/>
      <w:szCs w:val="18"/>
    </w:rPr>
  </w:style>
  <w:style w:type="paragraph" w:styleId="CommentText">
    <w:name w:val="annotation text"/>
    <w:basedOn w:val="Normal"/>
    <w:link w:val="CommentTextChar"/>
    <w:uiPriority w:val="99"/>
    <w:semiHidden/>
    <w:unhideWhenUsed/>
    <w:rsid w:val="001C1060"/>
  </w:style>
  <w:style w:type="character" w:customStyle="1" w:styleId="CommentTextChar">
    <w:name w:val="Comment Text Char"/>
    <w:basedOn w:val="DefaultParagraphFont"/>
    <w:link w:val="CommentText"/>
    <w:uiPriority w:val="99"/>
    <w:semiHidden/>
    <w:rsid w:val="001C1060"/>
  </w:style>
  <w:style w:type="paragraph" w:styleId="CommentSubject">
    <w:name w:val="annotation subject"/>
    <w:basedOn w:val="CommentText"/>
    <w:next w:val="CommentText"/>
    <w:link w:val="CommentSubjectChar"/>
    <w:uiPriority w:val="99"/>
    <w:semiHidden/>
    <w:unhideWhenUsed/>
    <w:rsid w:val="001C1060"/>
    <w:rPr>
      <w:b/>
      <w:bCs/>
      <w:sz w:val="20"/>
      <w:szCs w:val="20"/>
    </w:rPr>
  </w:style>
  <w:style w:type="character" w:customStyle="1" w:styleId="CommentSubjectChar">
    <w:name w:val="Comment Subject Char"/>
    <w:basedOn w:val="CommentTextChar"/>
    <w:link w:val="CommentSubject"/>
    <w:uiPriority w:val="99"/>
    <w:semiHidden/>
    <w:rsid w:val="001C1060"/>
    <w:rPr>
      <w:b/>
      <w:bCs/>
      <w:sz w:val="20"/>
      <w:szCs w:val="20"/>
    </w:rPr>
  </w:style>
  <w:style w:type="paragraph" w:styleId="ListParagraph">
    <w:name w:val="List Paragraph"/>
    <w:basedOn w:val="Normal"/>
    <w:uiPriority w:val="34"/>
    <w:qFormat/>
    <w:rsid w:val="00705777"/>
    <w:pPr>
      <w:ind w:left="720"/>
      <w:contextualSpacing/>
    </w:pPr>
  </w:style>
  <w:style w:type="paragraph" w:styleId="FootnoteText">
    <w:name w:val="footnote text"/>
    <w:basedOn w:val="Normal"/>
    <w:link w:val="FootnoteTextChar"/>
    <w:uiPriority w:val="99"/>
    <w:semiHidden/>
    <w:unhideWhenUsed/>
    <w:rsid w:val="00D76C80"/>
    <w:pPr>
      <w:spacing w:after="0"/>
    </w:pPr>
    <w:rPr>
      <w:sz w:val="20"/>
      <w:szCs w:val="20"/>
    </w:rPr>
  </w:style>
  <w:style w:type="character" w:customStyle="1" w:styleId="FootnoteTextChar">
    <w:name w:val="Footnote Text Char"/>
    <w:basedOn w:val="DefaultParagraphFont"/>
    <w:link w:val="FootnoteText"/>
    <w:uiPriority w:val="99"/>
    <w:semiHidden/>
    <w:rsid w:val="00D76C80"/>
    <w:rPr>
      <w:sz w:val="20"/>
      <w:szCs w:val="20"/>
    </w:rPr>
  </w:style>
  <w:style w:type="character" w:styleId="FootnoteReference">
    <w:name w:val="footnote reference"/>
    <w:basedOn w:val="DefaultParagraphFont"/>
    <w:uiPriority w:val="99"/>
    <w:semiHidden/>
    <w:unhideWhenUsed/>
    <w:rsid w:val="00D76C80"/>
    <w:rPr>
      <w:vertAlign w:val="superscript"/>
    </w:rPr>
  </w:style>
  <w:style w:type="character" w:styleId="Hyperlink">
    <w:name w:val="Hyperlink"/>
    <w:basedOn w:val="DefaultParagraphFont"/>
    <w:uiPriority w:val="99"/>
    <w:unhideWhenUsed/>
    <w:rsid w:val="00D76C80"/>
    <w:rPr>
      <w:color w:val="0000FF"/>
      <w:u w:val="single"/>
    </w:rPr>
  </w:style>
  <w:style w:type="character" w:styleId="FollowedHyperlink">
    <w:name w:val="FollowedHyperlink"/>
    <w:basedOn w:val="DefaultParagraphFont"/>
    <w:uiPriority w:val="99"/>
    <w:semiHidden/>
    <w:unhideWhenUsed/>
    <w:rsid w:val="00D76C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00B6"/>
    <w:pPr>
      <w:autoSpaceDE w:val="0"/>
      <w:autoSpaceDN w:val="0"/>
      <w:adjustRightInd w:val="0"/>
      <w:spacing w:after="0"/>
    </w:pPr>
    <w:rPr>
      <w:rFonts w:ascii="Univers 47 CondensedLight" w:eastAsiaTheme="minorHAnsi" w:hAnsi="Univers 47 CondensedLight" w:cs="Univers 47 CondensedLight"/>
      <w:color w:val="000000"/>
      <w:lang w:eastAsia="en-US"/>
    </w:rPr>
  </w:style>
  <w:style w:type="paragraph" w:styleId="BalloonText">
    <w:name w:val="Balloon Text"/>
    <w:basedOn w:val="Normal"/>
    <w:link w:val="BalloonTextChar"/>
    <w:uiPriority w:val="99"/>
    <w:semiHidden/>
    <w:unhideWhenUsed/>
    <w:rsid w:val="00F158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885"/>
    <w:rPr>
      <w:rFonts w:ascii="Tahoma" w:hAnsi="Tahoma" w:cs="Tahoma"/>
      <w:sz w:val="16"/>
      <w:szCs w:val="16"/>
    </w:rPr>
  </w:style>
  <w:style w:type="paragraph" w:styleId="NormalWeb">
    <w:name w:val="Normal (Web)"/>
    <w:basedOn w:val="Normal"/>
    <w:uiPriority w:val="99"/>
    <w:semiHidden/>
    <w:unhideWhenUsed/>
    <w:rsid w:val="004C0465"/>
    <w:pPr>
      <w:spacing w:before="100" w:beforeAutospacing="1" w:after="100" w:afterAutospacing="1"/>
    </w:pPr>
    <w:rPr>
      <w:rFonts w:ascii="Times" w:hAnsi="Times" w:cs="Times New Roman"/>
      <w:sz w:val="20"/>
      <w:szCs w:val="20"/>
      <w:lang w:eastAsia="en-US"/>
    </w:rPr>
  </w:style>
  <w:style w:type="character" w:styleId="CommentReference">
    <w:name w:val="annotation reference"/>
    <w:basedOn w:val="DefaultParagraphFont"/>
    <w:uiPriority w:val="99"/>
    <w:semiHidden/>
    <w:unhideWhenUsed/>
    <w:rsid w:val="001C1060"/>
    <w:rPr>
      <w:sz w:val="18"/>
      <w:szCs w:val="18"/>
    </w:rPr>
  </w:style>
  <w:style w:type="paragraph" w:styleId="CommentText">
    <w:name w:val="annotation text"/>
    <w:basedOn w:val="Normal"/>
    <w:link w:val="CommentTextChar"/>
    <w:uiPriority w:val="99"/>
    <w:semiHidden/>
    <w:unhideWhenUsed/>
    <w:rsid w:val="001C1060"/>
  </w:style>
  <w:style w:type="character" w:customStyle="1" w:styleId="CommentTextChar">
    <w:name w:val="Comment Text Char"/>
    <w:basedOn w:val="DefaultParagraphFont"/>
    <w:link w:val="CommentText"/>
    <w:uiPriority w:val="99"/>
    <w:semiHidden/>
    <w:rsid w:val="001C1060"/>
  </w:style>
  <w:style w:type="paragraph" w:styleId="CommentSubject">
    <w:name w:val="annotation subject"/>
    <w:basedOn w:val="CommentText"/>
    <w:next w:val="CommentText"/>
    <w:link w:val="CommentSubjectChar"/>
    <w:uiPriority w:val="99"/>
    <w:semiHidden/>
    <w:unhideWhenUsed/>
    <w:rsid w:val="001C1060"/>
    <w:rPr>
      <w:b/>
      <w:bCs/>
      <w:sz w:val="20"/>
      <w:szCs w:val="20"/>
    </w:rPr>
  </w:style>
  <w:style w:type="character" w:customStyle="1" w:styleId="CommentSubjectChar">
    <w:name w:val="Comment Subject Char"/>
    <w:basedOn w:val="CommentTextChar"/>
    <w:link w:val="CommentSubject"/>
    <w:uiPriority w:val="99"/>
    <w:semiHidden/>
    <w:rsid w:val="001C1060"/>
    <w:rPr>
      <w:b/>
      <w:bCs/>
      <w:sz w:val="20"/>
      <w:szCs w:val="20"/>
    </w:rPr>
  </w:style>
  <w:style w:type="paragraph" w:styleId="ListParagraph">
    <w:name w:val="List Paragraph"/>
    <w:basedOn w:val="Normal"/>
    <w:uiPriority w:val="34"/>
    <w:qFormat/>
    <w:rsid w:val="00705777"/>
    <w:pPr>
      <w:ind w:left="720"/>
      <w:contextualSpacing/>
    </w:pPr>
  </w:style>
  <w:style w:type="paragraph" w:styleId="FootnoteText">
    <w:name w:val="footnote text"/>
    <w:basedOn w:val="Normal"/>
    <w:link w:val="FootnoteTextChar"/>
    <w:uiPriority w:val="99"/>
    <w:semiHidden/>
    <w:unhideWhenUsed/>
    <w:rsid w:val="00D76C80"/>
    <w:pPr>
      <w:spacing w:after="0"/>
    </w:pPr>
    <w:rPr>
      <w:sz w:val="20"/>
      <w:szCs w:val="20"/>
    </w:rPr>
  </w:style>
  <w:style w:type="character" w:customStyle="1" w:styleId="FootnoteTextChar">
    <w:name w:val="Footnote Text Char"/>
    <w:basedOn w:val="DefaultParagraphFont"/>
    <w:link w:val="FootnoteText"/>
    <w:uiPriority w:val="99"/>
    <w:semiHidden/>
    <w:rsid w:val="00D76C80"/>
    <w:rPr>
      <w:sz w:val="20"/>
      <w:szCs w:val="20"/>
    </w:rPr>
  </w:style>
  <w:style w:type="character" w:styleId="FootnoteReference">
    <w:name w:val="footnote reference"/>
    <w:basedOn w:val="DefaultParagraphFont"/>
    <w:uiPriority w:val="99"/>
    <w:semiHidden/>
    <w:unhideWhenUsed/>
    <w:rsid w:val="00D76C80"/>
    <w:rPr>
      <w:vertAlign w:val="superscript"/>
    </w:rPr>
  </w:style>
  <w:style w:type="character" w:styleId="Hyperlink">
    <w:name w:val="Hyperlink"/>
    <w:basedOn w:val="DefaultParagraphFont"/>
    <w:uiPriority w:val="99"/>
    <w:unhideWhenUsed/>
    <w:rsid w:val="00D76C80"/>
    <w:rPr>
      <w:color w:val="0000FF"/>
      <w:u w:val="single"/>
    </w:rPr>
  </w:style>
  <w:style w:type="character" w:styleId="FollowedHyperlink">
    <w:name w:val="FollowedHyperlink"/>
    <w:basedOn w:val="DefaultParagraphFont"/>
    <w:uiPriority w:val="99"/>
    <w:semiHidden/>
    <w:unhideWhenUsed/>
    <w:rsid w:val="00D76C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4034">
      <w:bodyDiv w:val="1"/>
      <w:marLeft w:val="0"/>
      <w:marRight w:val="0"/>
      <w:marTop w:val="0"/>
      <w:marBottom w:val="0"/>
      <w:divBdr>
        <w:top w:val="none" w:sz="0" w:space="0" w:color="auto"/>
        <w:left w:val="none" w:sz="0" w:space="0" w:color="auto"/>
        <w:bottom w:val="none" w:sz="0" w:space="0" w:color="auto"/>
        <w:right w:val="none" w:sz="0" w:space="0" w:color="auto"/>
      </w:divBdr>
    </w:div>
    <w:div w:id="514154745">
      <w:bodyDiv w:val="1"/>
      <w:marLeft w:val="0"/>
      <w:marRight w:val="0"/>
      <w:marTop w:val="0"/>
      <w:marBottom w:val="0"/>
      <w:divBdr>
        <w:top w:val="none" w:sz="0" w:space="0" w:color="auto"/>
        <w:left w:val="none" w:sz="0" w:space="0" w:color="auto"/>
        <w:bottom w:val="none" w:sz="0" w:space="0" w:color="auto"/>
        <w:right w:val="none" w:sz="0" w:space="0" w:color="auto"/>
      </w:divBdr>
    </w:div>
    <w:div w:id="543954573">
      <w:bodyDiv w:val="1"/>
      <w:marLeft w:val="0"/>
      <w:marRight w:val="0"/>
      <w:marTop w:val="0"/>
      <w:marBottom w:val="0"/>
      <w:divBdr>
        <w:top w:val="none" w:sz="0" w:space="0" w:color="auto"/>
        <w:left w:val="none" w:sz="0" w:space="0" w:color="auto"/>
        <w:bottom w:val="none" w:sz="0" w:space="0" w:color="auto"/>
        <w:right w:val="none" w:sz="0" w:space="0" w:color="auto"/>
      </w:divBdr>
    </w:div>
    <w:div w:id="573590006">
      <w:bodyDiv w:val="1"/>
      <w:marLeft w:val="0"/>
      <w:marRight w:val="0"/>
      <w:marTop w:val="0"/>
      <w:marBottom w:val="0"/>
      <w:divBdr>
        <w:top w:val="none" w:sz="0" w:space="0" w:color="auto"/>
        <w:left w:val="none" w:sz="0" w:space="0" w:color="auto"/>
        <w:bottom w:val="none" w:sz="0" w:space="0" w:color="auto"/>
        <w:right w:val="none" w:sz="0" w:space="0" w:color="auto"/>
      </w:divBdr>
    </w:div>
    <w:div w:id="744837242">
      <w:bodyDiv w:val="1"/>
      <w:marLeft w:val="0"/>
      <w:marRight w:val="0"/>
      <w:marTop w:val="0"/>
      <w:marBottom w:val="0"/>
      <w:divBdr>
        <w:top w:val="none" w:sz="0" w:space="0" w:color="auto"/>
        <w:left w:val="none" w:sz="0" w:space="0" w:color="auto"/>
        <w:bottom w:val="none" w:sz="0" w:space="0" w:color="auto"/>
        <w:right w:val="none" w:sz="0" w:space="0" w:color="auto"/>
      </w:divBdr>
      <w:divsChild>
        <w:div w:id="2115440809">
          <w:marLeft w:val="0"/>
          <w:marRight w:val="0"/>
          <w:marTop w:val="0"/>
          <w:marBottom w:val="0"/>
          <w:divBdr>
            <w:top w:val="none" w:sz="0" w:space="0" w:color="auto"/>
            <w:left w:val="none" w:sz="0" w:space="0" w:color="auto"/>
            <w:bottom w:val="none" w:sz="0" w:space="0" w:color="auto"/>
            <w:right w:val="none" w:sz="0" w:space="0" w:color="auto"/>
          </w:divBdr>
          <w:divsChild>
            <w:div w:id="483396025">
              <w:marLeft w:val="0"/>
              <w:marRight w:val="0"/>
              <w:marTop w:val="0"/>
              <w:marBottom w:val="0"/>
              <w:divBdr>
                <w:top w:val="none" w:sz="0" w:space="0" w:color="auto"/>
                <w:left w:val="none" w:sz="0" w:space="0" w:color="auto"/>
                <w:bottom w:val="none" w:sz="0" w:space="0" w:color="auto"/>
                <w:right w:val="none" w:sz="0" w:space="0" w:color="auto"/>
              </w:divBdr>
              <w:divsChild>
                <w:div w:id="971445984">
                  <w:marLeft w:val="0"/>
                  <w:marRight w:val="0"/>
                  <w:marTop w:val="0"/>
                  <w:marBottom w:val="0"/>
                  <w:divBdr>
                    <w:top w:val="none" w:sz="0" w:space="0" w:color="auto"/>
                    <w:left w:val="none" w:sz="0" w:space="0" w:color="auto"/>
                    <w:bottom w:val="none" w:sz="0" w:space="0" w:color="auto"/>
                    <w:right w:val="none" w:sz="0" w:space="0" w:color="auto"/>
                  </w:divBdr>
                  <w:divsChild>
                    <w:div w:id="7893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3476">
      <w:bodyDiv w:val="1"/>
      <w:marLeft w:val="0"/>
      <w:marRight w:val="0"/>
      <w:marTop w:val="0"/>
      <w:marBottom w:val="0"/>
      <w:divBdr>
        <w:top w:val="none" w:sz="0" w:space="0" w:color="auto"/>
        <w:left w:val="none" w:sz="0" w:space="0" w:color="auto"/>
        <w:bottom w:val="none" w:sz="0" w:space="0" w:color="auto"/>
        <w:right w:val="none" w:sz="0" w:space="0" w:color="auto"/>
      </w:divBdr>
    </w:div>
    <w:div w:id="1338925305">
      <w:bodyDiv w:val="1"/>
      <w:marLeft w:val="0"/>
      <w:marRight w:val="0"/>
      <w:marTop w:val="0"/>
      <w:marBottom w:val="0"/>
      <w:divBdr>
        <w:top w:val="none" w:sz="0" w:space="0" w:color="auto"/>
        <w:left w:val="none" w:sz="0" w:space="0" w:color="auto"/>
        <w:bottom w:val="none" w:sz="0" w:space="0" w:color="auto"/>
        <w:right w:val="none" w:sz="0" w:space="0" w:color="auto"/>
      </w:divBdr>
      <w:divsChild>
        <w:div w:id="556204501">
          <w:marLeft w:val="0"/>
          <w:marRight w:val="0"/>
          <w:marTop w:val="0"/>
          <w:marBottom w:val="0"/>
          <w:divBdr>
            <w:top w:val="none" w:sz="0" w:space="0" w:color="auto"/>
            <w:left w:val="none" w:sz="0" w:space="0" w:color="auto"/>
            <w:bottom w:val="none" w:sz="0" w:space="0" w:color="auto"/>
            <w:right w:val="none" w:sz="0" w:space="0" w:color="auto"/>
          </w:divBdr>
          <w:divsChild>
            <w:div w:id="908998447">
              <w:marLeft w:val="0"/>
              <w:marRight w:val="0"/>
              <w:marTop w:val="0"/>
              <w:marBottom w:val="0"/>
              <w:divBdr>
                <w:top w:val="none" w:sz="0" w:space="0" w:color="auto"/>
                <w:left w:val="none" w:sz="0" w:space="0" w:color="auto"/>
                <w:bottom w:val="none" w:sz="0" w:space="0" w:color="auto"/>
                <w:right w:val="none" w:sz="0" w:space="0" w:color="auto"/>
              </w:divBdr>
              <w:divsChild>
                <w:div w:id="1592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5655">
      <w:bodyDiv w:val="1"/>
      <w:marLeft w:val="0"/>
      <w:marRight w:val="0"/>
      <w:marTop w:val="0"/>
      <w:marBottom w:val="0"/>
      <w:divBdr>
        <w:top w:val="none" w:sz="0" w:space="0" w:color="auto"/>
        <w:left w:val="none" w:sz="0" w:space="0" w:color="auto"/>
        <w:bottom w:val="none" w:sz="0" w:space="0" w:color="auto"/>
        <w:right w:val="none" w:sz="0" w:space="0" w:color="auto"/>
      </w:divBdr>
    </w:div>
    <w:div w:id="1851216950">
      <w:bodyDiv w:val="1"/>
      <w:marLeft w:val="0"/>
      <w:marRight w:val="0"/>
      <w:marTop w:val="0"/>
      <w:marBottom w:val="0"/>
      <w:divBdr>
        <w:top w:val="none" w:sz="0" w:space="0" w:color="auto"/>
        <w:left w:val="none" w:sz="0" w:space="0" w:color="auto"/>
        <w:bottom w:val="none" w:sz="0" w:space="0" w:color="auto"/>
        <w:right w:val="none" w:sz="0" w:space="0" w:color="auto"/>
      </w:divBdr>
    </w:div>
    <w:div w:id="1889686382">
      <w:bodyDiv w:val="1"/>
      <w:marLeft w:val="0"/>
      <w:marRight w:val="0"/>
      <w:marTop w:val="0"/>
      <w:marBottom w:val="0"/>
      <w:divBdr>
        <w:top w:val="none" w:sz="0" w:space="0" w:color="auto"/>
        <w:left w:val="none" w:sz="0" w:space="0" w:color="auto"/>
        <w:bottom w:val="none" w:sz="0" w:space="0" w:color="auto"/>
        <w:right w:val="none" w:sz="0" w:space="0" w:color="auto"/>
      </w:divBdr>
    </w:div>
    <w:div w:id="20408178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A270F-7590-44AF-86B2-576E8FA9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15164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Willett</dc:creator>
  <cp:lastModifiedBy>Nevils Joseph</cp:lastModifiedBy>
  <cp:revision>2</cp:revision>
  <cp:lastPrinted>2017-03-22T15:10:00Z</cp:lastPrinted>
  <dcterms:created xsi:type="dcterms:W3CDTF">2017-03-22T15:13:00Z</dcterms:created>
  <dcterms:modified xsi:type="dcterms:W3CDTF">2017-03-22T15:13:00Z</dcterms:modified>
</cp:coreProperties>
</file>